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96349" w14:textId="7A094398" w:rsidR="002770C7" w:rsidRDefault="002770C7" w:rsidP="00222DB2">
      <w:pPr>
        <w:jc w:val="both"/>
        <w:rPr>
          <w:lang w:val="uk-UA"/>
        </w:rPr>
      </w:pPr>
    </w:p>
    <w:p w14:paraId="1EB37F4E" w14:textId="12D2346C" w:rsidR="002770C7" w:rsidRDefault="00DF6786" w:rsidP="002770C7">
      <w:pPr>
        <w:pStyle w:val="JuPara"/>
        <w:ind w:firstLine="0"/>
        <w:rPr>
          <w:lang w:val="uk-UA"/>
        </w:rPr>
      </w:pPr>
      <w:r>
        <w:rPr>
          <w:lang w:val="uk-UA"/>
        </w:rPr>
        <w:t>С</w:t>
      </w:r>
      <w:r w:rsidR="000A6EE1">
        <w:rPr>
          <w:lang w:val="uk-UA"/>
        </w:rPr>
        <w:t xml:space="preserve">права </w:t>
      </w:r>
      <w:r w:rsidR="000A6EE1" w:rsidRPr="001C1A0A">
        <w:rPr>
          <w:b/>
          <w:bCs/>
          <w:i/>
          <w:iCs/>
          <w:color w:val="FF0000"/>
          <w:lang w:val="uk-UA"/>
        </w:rPr>
        <w:t>«</w:t>
      </w:r>
      <w:r w:rsidR="002770C7" w:rsidRPr="001C1A0A">
        <w:rPr>
          <w:rFonts w:ascii="Cambria" w:hAnsi="Cambria"/>
          <w:b/>
          <w:bCs/>
          <w:i/>
          <w:iCs/>
          <w:color w:val="FF0000"/>
          <w:lang w:val="uk-UA"/>
        </w:rPr>
        <w:t xml:space="preserve">R.B. v. </w:t>
      </w:r>
      <w:proofErr w:type="spellStart"/>
      <w:r w:rsidR="002770C7" w:rsidRPr="001C1A0A">
        <w:rPr>
          <w:rFonts w:ascii="Cambria" w:hAnsi="Cambria"/>
          <w:b/>
          <w:bCs/>
          <w:i/>
          <w:iCs/>
          <w:color w:val="FF0000"/>
          <w:lang w:val="uk-UA"/>
        </w:rPr>
        <w:t>Estonia</w:t>
      </w:r>
      <w:proofErr w:type="spellEnd"/>
      <w:r w:rsidR="002770C7" w:rsidRPr="001C1A0A">
        <w:rPr>
          <w:b/>
          <w:bCs/>
          <w:i/>
          <w:iCs/>
          <w:color w:val="FF0000"/>
          <w:lang w:val="uk-UA"/>
        </w:rPr>
        <w:t>»</w:t>
      </w:r>
      <w:r w:rsidR="000A6EE1" w:rsidRPr="001C1A0A">
        <w:rPr>
          <w:color w:val="FF0000"/>
          <w:lang w:val="uk-UA"/>
        </w:rPr>
        <w:t xml:space="preserve"> </w:t>
      </w:r>
      <w:r w:rsidR="000A6EE1">
        <w:rPr>
          <w:lang w:val="uk-UA"/>
        </w:rPr>
        <w:t xml:space="preserve">може </w:t>
      </w:r>
      <w:r>
        <w:rPr>
          <w:lang w:val="uk-UA"/>
        </w:rPr>
        <w:t>стати</w:t>
      </w:r>
      <w:r w:rsidR="000A6EE1">
        <w:rPr>
          <w:lang w:val="uk-UA"/>
        </w:rPr>
        <w:t xml:space="preserve"> однією з найбільш важливих </w:t>
      </w:r>
      <w:r>
        <w:rPr>
          <w:lang w:val="uk-UA"/>
        </w:rPr>
        <w:t xml:space="preserve">та знакових </w:t>
      </w:r>
      <w:r w:rsidR="000A6EE1">
        <w:rPr>
          <w:lang w:val="uk-UA"/>
        </w:rPr>
        <w:t>справ у сфері розслідування випадків сексуального насильства, особливо коли жертвами такого насильства стають діти.</w:t>
      </w:r>
      <w:r w:rsidR="003755B1">
        <w:rPr>
          <w:lang w:val="uk-UA"/>
        </w:rPr>
        <w:t xml:space="preserve"> Тому, гадаю, ця справа має стати предметом глибокого вивчення усіх адвокатів, слідчих, прокурорів, психологів та соціальних працівників, які мають справу з жертвами сексуального насильства. </w:t>
      </w:r>
    </w:p>
    <w:p w14:paraId="3F501FE8" w14:textId="7FE4ECBB" w:rsidR="000A6EE1" w:rsidRDefault="000A6EE1" w:rsidP="002770C7">
      <w:pPr>
        <w:pStyle w:val="JuPara"/>
        <w:ind w:firstLine="0"/>
        <w:rPr>
          <w:lang w:val="uk-UA"/>
        </w:rPr>
      </w:pPr>
    </w:p>
    <w:p w14:paraId="6DD7D991" w14:textId="77777777" w:rsidR="00834381" w:rsidRDefault="000A6EE1" w:rsidP="003755B1">
      <w:pPr>
        <w:pStyle w:val="JuPara"/>
        <w:ind w:firstLine="0"/>
        <w:rPr>
          <w:lang w:val="uk-UA"/>
        </w:rPr>
      </w:pPr>
      <w:r>
        <w:rPr>
          <w:lang w:val="uk-UA"/>
        </w:rPr>
        <w:t xml:space="preserve">Ця справа – продовження трансформації практики ЄСПЛ щодо розгляду скарг на неналежне розслідування справ про зґвалтування та інші статеві злочини. </w:t>
      </w:r>
    </w:p>
    <w:p w14:paraId="1DC90B7D" w14:textId="77777777" w:rsidR="00834381" w:rsidRDefault="00834381" w:rsidP="003755B1">
      <w:pPr>
        <w:pStyle w:val="JuPara"/>
        <w:ind w:firstLine="0"/>
        <w:rPr>
          <w:lang w:val="uk-UA"/>
        </w:rPr>
      </w:pPr>
    </w:p>
    <w:p w14:paraId="16FE3C05" w14:textId="0CC28731" w:rsidR="003755B1" w:rsidRPr="00222DB2" w:rsidRDefault="003755B1" w:rsidP="003755B1">
      <w:pPr>
        <w:pStyle w:val="JuPara"/>
        <w:ind w:firstLine="0"/>
        <w:rPr>
          <w:lang w:val="uk-UA"/>
        </w:rPr>
      </w:pPr>
      <w:r>
        <w:rPr>
          <w:lang w:val="uk-UA"/>
        </w:rPr>
        <w:t xml:space="preserve">Так, можна згадати, що </w:t>
      </w:r>
      <w:r w:rsidR="00D13132">
        <w:rPr>
          <w:lang w:val="uk-UA"/>
        </w:rPr>
        <w:t>у</w:t>
      </w:r>
      <w:r>
        <w:rPr>
          <w:lang w:val="en-US"/>
        </w:rPr>
        <w:t xml:space="preserve"> 2003 </w:t>
      </w:r>
      <w:r>
        <w:rPr>
          <w:lang w:val="uk-UA"/>
        </w:rPr>
        <w:t xml:space="preserve">році Європейський Суд наголосив: </w:t>
      </w:r>
      <w:r w:rsidRPr="00D13132">
        <w:rPr>
          <w:rFonts w:ascii="Cambria" w:hAnsi="Cambria"/>
          <w:i/>
          <w:iCs/>
          <w:color w:val="C00000"/>
          <w:sz w:val="22"/>
          <w:szCs w:val="22"/>
          <w:lang w:val="uk-UA"/>
        </w:rPr>
        <w:t>«Раніше національне право і практика деяких держав вимагали у справах про зґвалтування наявності доказу щодо застосування фізичної сили та чинення фізичного опору. Однак упродовж останніх десятирічь у Європі та деяких інших частинах світу спостерігається постійна тенденція  до відмови від формалістичних значень і вузького тлумачення закону в цій сфері»</w:t>
      </w:r>
      <w:r w:rsidRPr="00D13132">
        <w:rPr>
          <w:color w:val="C00000"/>
          <w:sz w:val="22"/>
          <w:szCs w:val="22"/>
          <w:lang w:val="uk-UA"/>
        </w:rPr>
        <w:t xml:space="preserve"> </w:t>
      </w:r>
      <w:r w:rsidRPr="003755B1">
        <w:rPr>
          <w:i/>
          <w:iCs/>
          <w:lang w:val="uk-UA"/>
        </w:rPr>
        <w:t>(«М.С. v. Bulgaria», п. 156).</w:t>
      </w:r>
    </w:p>
    <w:p w14:paraId="3251594C" w14:textId="77777777" w:rsidR="003755B1" w:rsidRPr="00222DB2" w:rsidRDefault="003755B1" w:rsidP="003755B1">
      <w:pPr>
        <w:jc w:val="both"/>
        <w:rPr>
          <w:lang w:val="uk-UA"/>
        </w:rPr>
      </w:pPr>
    </w:p>
    <w:p w14:paraId="00329E1F" w14:textId="4B3AB107" w:rsidR="003755B1" w:rsidRPr="003755B1" w:rsidRDefault="003755B1" w:rsidP="003755B1">
      <w:pPr>
        <w:jc w:val="both"/>
        <w:rPr>
          <w:i/>
          <w:iCs/>
          <w:lang w:val="uk-UA"/>
        </w:rPr>
      </w:pPr>
      <w:r w:rsidRPr="00222DB2">
        <w:rPr>
          <w:lang w:val="uk-UA"/>
        </w:rPr>
        <w:t xml:space="preserve">Мало того, </w:t>
      </w:r>
      <w:r w:rsidR="00834381">
        <w:rPr>
          <w:lang w:val="uk-UA"/>
        </w:rPr>
        <w:t xml:space="preserve">як зазначає ЄСПЛ, </w:t>
      </w:r>
      <w:r w:rsidRPr="00222DB2">
        <w:rPr>
          <w:lang w:val="uk-UA"/>
        </w:rPr>
        <w:t xml:space="preserve">розвиток права та практики </w:t>
      </w:r>
      <w:r w:rsidR="00D13132">
        <w:rPr>
          <w:lang w:val="uk-UA"/>
        </w:rPr>
        <w:t>у</w:t>
      </w:r>
      <w:r w:rsidRPr="00222DB2">
        <w:rPr>
          <w:lang w:val="uk-UA"/>
        </w:rPr>
        <w:t xml:space="preserve"> цій сфері відображають </w:t>
      </w:r>
      <w:r w:rsidR="00D13132" w:rsidRPr="00D13132">
        <w:rPr>
          <w:rFonts w:ascii="Cambria" w:hAnsi="Cambria"/>
          <w:i/>
          <w:iCs/>
          <w:color w:val="C00000"/>
          <w:sz w:val="22"/>
          <w:szCs w:val="22"/>
          <w:lang w:val="uk-UA"/>
        </w:rPr>
        <w:t>«</w:t>
      </w:r>
      <w:r w:rsidRPr="00D13132">
        <w:rPr>
          <w:rFonts w:ascii="Cambria" w:hAnsi="Cambria"/>
          <w:i/>
          <w:iCs/>
          <w:color w:val="C00000"/>
          <w:sz w:val="22"/>
          <w:szCs w:val="22"/>
          <w:lang w:val="uk-UA"/>
        </w:rPr>
        <w:t>еволюцію суспільств у напрямі ефективного забезпечення поваги до статевої автономії кожної людини</w:t>
      </w:r>
      <w:r w:rsidR="00D13132" w:rsidRPr="00D13132">
        <w:rPr>
          <w:rFonts w:ascii="Cambria" w:hAnsi="Cambria"/>
          <w:i/>
          <w:iCs/>
          <w:color w:val="C00000"/>
          <w:sz w:val="22"/>
          <w:szCs w:val="22"/>
          <w:lang w:val="uk-UA"/>
        </w:rPr>
        <w:t>»</w:t>
      </w:r>
      <w:r w:rsidRPr="00D13132">
        <w:rPr>
          <w:rFonts w:ascii="Cambria" w:hAnsi="Cambria"/>
          <w:i/>
          <w:iCs/>
          <w:color w:val="C00000"/>
          <w:sz w:val="22"/>
          <w:szCs w:val="22"/>
          <w:lang w:val="uk-UA"/>
        </w:rPr>
        <w:t xml:space="preserve"> </w:t>
      </w:r>
      <w:r w:rsidRPr="003755B1">
        <w:rPr>
          <w:i/>
          <w:iCs/>
          <w:lang w:val="uk-UA"/>
        </w:rPr>
        <w:t>(«М.С. v. Bulgaria», п. 156).</w:t>
      </w:r>
    </w:p>
    <w:p w14:paraId="53085DDE" w14:textId="77777777" w:rsidR="003755B1" w:rsidRDefault="003755B1" w:rsidP="002770C7">
      <w:pPr>
        <w:pStyle w:val="JuPara"/>
        <w:ind w:firstLine="0"/>
        <w:rPr>
          <w:lang w:val="uk-UA"/>
        </w:rPr>
      </w:pPr>
    </w:p>
    <w:p w14:paraId="65D6B813" w14:textId="4C832679" w:rsidR="00222DB2" w:rsidRPr="00222DB2" w:rsidRDefault="003755B1" w:rsidP="000A6EE1">
      <w:pPr>
        <w:pStyle w:val="JuPara"/>
        <w:ind w:firstLine="0"/>
        <w:rPr>
          <w:lang w:val="uk-UA"/>
        </w:rPr>
      </w:pPr>
      <w:r>
        <w:rPr>
          <w:lang w:val="uk-UA"/>
        </w:rPr>
        <w:t>Проте, передусім, необхідно нага</w:t>
      </w:r>
      <w:r w:rsidR="000A6EE1">
        <w:rPr>
          <w:lang w:val="uk-UA"/>
        </w:rPr>
        <w:t>дати, що у світлі практики ЄСПЛ з</w:t>
      </w:r>
      <w:r w:rsidR="00222DB2" w:rsidRPr="00222DB2">
        <w:rPr>
          <w:lang w:val="uk-UA"/>
        </w:rPr>
        <w:t>ґвалтування саме по собі є катуванням</w:t>
      </w:r>
      <w:r w:rsidR="000A6EE1">
        <w:rPr>
          <w:lang w:val="uk-UA"/>
        </w:rPr>
        <w:t xml:space="preserve"> </w:t>
      </w:r>
      <w:r w:rsidR="000A6EE1" w:rsidRPr="000A6EE1">
        <w:rPr>
          <w:i/>
          <w:iCs/>
          <w:lang w:val="uk-UA"/>
        </w:rPr>
        <w:t>(</w:t>
      </w:r>
      <w:r w:rsidR="00222DB2" w:rsidRPr="000A6EE1">
        <w:rPr>
          <w:i/>
          <w:iCs/>
          <w:lang w:val="uk-UA"/>
        </w:rPr>
        <w:t>«</w:t>
      </w:r>
      <w:proofErr w:type="spellStart"/>
      <w:r w:rsidR="00222DB2" w:rsidRPr="000A6EE1">
        <w:rPr>
          <w:i/>
          <w:iCs/>
          <w:lang w:val="uk-UA"/>
        </w:rPr>
        <w:t>Yuriy</w:t>
      </w:r>
      <w:proofErr w:type="spellEnd"/>
      <w:r w:rsidR="00222DB2" w:rsidRPr="000A6EE1">
        <w:rPr>
          <w:i/>
          <w:iCs/>
          <w:lang w:val="uk-UA"/>
        </w:rPr>
        <w:t xml:space="preserve"> </w:t>
      </w:r>
      <w:proofErr w:type="spellStart"/>
      <w:r w:rsidR="00222DB2" w:rsidRPr="000A6EE1">
        <w:rPr>
          <w:i/>
          <w:iCs/>
          <w:lang w:val="uk-UA"/>
        </w:rPr>
        <w:t>Illarionovich</w:t>
      </w:r>
      <w:proofErr w:type="spellEnd"/>
      <w:r w:rsidR="00222DB2" w:rsidRPr="000A6EE1">
        <w:rPr>
          <w:i/>
          <w:iCs/>
          <w:lang w:val="uk-UA"/>
        </w:rPr>
        <w:t xml:space="preserve"> </w:t>
      </w:r>
      <w:proofErr w:type="spellStart"/>
      <w:r w:rsidR="00222DB2" w:rsidRPr="000A6EE1">
        <w:rPr>
          <w:i/>
          <w:iCs/>
          <w:lang w:val="uk-UA"/>
        </w:rPr>
        <w:t>Shchokin</w:t>
      </w:r>
      <w:proofErr w:type="spellEnd"/>
      <w:r w:rsidR="00222DB2" w:rsidRPr="000A6EE1">
        <w:rPr>
          <w:i/>
          <w:iCs/>
          <w:lang w:val="uk-UA"/>
        </w:rPr>
        <w:t xml:space="preserve"> v. Ukraine», п. 42</w:t>
      </w:r>
      <w:r w:rsidR="000A6EE1" w:rsidRPr="000A6EE1">
        <w:rPr>
          <w:i/>
          <w:iCs/>
          <w:lang w:val="uk-UA"/>
        </w:rPr>
        <w:t>).</w:t>
      </w:r>
    </w:p>
    <w:p w14:paraId="39E3A7B2" w14:textId="77777777" w:rsidR="00DF6786" w:rsidRDefault="00DF6786" w:rsidP="00DF6786">
      <w:pPr>
        <w:jc w:val="both"/>
        <w:rPr>
          <w:lang w:val="uk-UA"/>
        </w:rPr>
      </w:pPr>
    </w:p>
    <w:p w14:paraId="427AF1C6" w14:textId="52791BF0" w:rsidR="00222DB2" w:rsidRDefault="00834381" w:rsidP="00222DB2">
      <w:pPr>
        <w:jc w:val="both"/>
        <w:rPr>
          <w:lang w:val="uk-UA"/>
        </w:rPr>
      </w:pPr>
      <w:r>
        <w:rPr>
          <w:lang w:val="uk-UA"/>
        </w:rPr>
        <w:t>Відтак, б</w:t>
      </w:r>
      <w:r w:rsidR="00DF6786">
        <w:rPr>
          <w:lang w:val="uk-UA"/>
        </w:rPr>
        <w:t xml:space="preserve">удь-яка справа розслідування заяви про зґвалтування та статеве насильство – це сфера застосування ст. 3 і ст. 8 Конвенції </w:t>
      </w:r>
      <w:r w:rsidR="00DF6786" w:rsidRPr="003755B1">
        <w:rPr>
          <w:i/>
          <w:iCs/>
          <w:lang w:val="uk-UA"/>
        </w:rPr>
        <w:t xml:space="preserve">(«М.С. v. Bulgaria», п. 153), </w:t>
      </w:r>
      <w:r w:rsidR="00DF6786">
        <w:rPr>
          <w:lang w:val="uk-UA"/>
        </w:rPr>
        <w:t xml:space="preserve">де </w:t>
      </w:r>
      <w:r w:rsidR="000A6EE1">
        <w:rPr>
          <w:lang w:val="uk-UA"/>
        </w:rPr>
        <w:t xml:space="preserve">при розслідуванні заяв про зґвалтування та інші статеві злочини </w:t>
      </w:r>
      <w:r w:rsidR="00DF6786">
        <w:rPr>
          <w:lang w:val="uk-UA"/>
        </w:rPr>
        <w:t>о</w:t>
      </w:r>
      <w:r w:rsidR="00222DB2" w:rsidRPr="00222DB2">
        <w:rPr>
          <w:lang w:val="uk-UA"/>
        </w:rPr>
        <w:t xml:space="preserve">цінювати дії відповідних посадових осіб потрібно крізь призму концепції </w:t>
      </w:r>
      <w:r w:rsidR="00222DB2" w:rsidRPr="00834381">
        <w:rPr>
          <w:rFonts w:ascii="Cambria" w:hAnsi="Cambria"/>
          <w:i/>
          <w:iCs/>
          <w:color w:val="0432FF"/>
          <w:sz w:val="22"/>
          <w:szCs w:val="22"/>
          <w:lang w:val="uk-UA"/>
        </w:rPr>
        <w:t>позитивного обов’язку держави</w:t>
      </w:r>
      <w:r w:rsidR="00DF6786">
        <w:rPr>
          <w:lang w:val="uk-UA"/>
        </w:rPr>
        <w:t>.</w:t>
      </w:r>
    </w:p>
    <w:p w14:paraId="503C5731" w14:textId="35E9DB2D" w:rsidR="003755B1" w:rsidRDefault="003755B1" w:rsidP="00222DB2">
      <w:pPr>
        <w:jc w:val="both"/>
        <w:rPr>
          <w:lang w:val="uk-UA"/>
        </w:rPr>
      </w:pPr>
    </w:p>
    <w:p w14:paraId="28B13CDE" w14:textId="24119114" w:rsidR="00222DB2" w:rsidRPr="00222DB2" w:rsidRDefault="003755B1" w:rsidP="00222DB2">
      <w:pPr>
        <w:jc w:val="both"/>
        <w:rPr>
          <w:lang w:val="uk-UA"/>
        </w:rPr>
      </w:pPr>
      <w:r>
        <w:rPr>
          <w:lang w:val="uk-UA"/>
        </w:rPr>
        <w:t xml:space="preserve">Тому у таких справах ЄСПЛ нерідко робить наголос: </w:t>
      </w:r>
      <w:r w:rsidR="00834381" w:rsidRPr="00834381">
        <w:rPr>
          <w:rFonts w:ascii="Cambria" w:hAnsi="Cambria"/>
          <w:i/>
          <w:iCs/>
          <w:color w:val="C00000"/>
          <w:sz w:val="22"/>
          <w:szCs w:val="22"/>
          <w:lang w:val="uk-UA"/>
        </w:rPr>
        <w:t>«</w:t>
      </w:r>
      <w:r w:rsidR="00834381">
        <w:rPr>
          <w:rFonts w:ascii="Cambria" w:hAnsi="Cambria"/>
          <w:i/>
          <w:iCs/>
          <w:color w:val="C00000"/>
          <w:sz w:val="22"/>
          <w:szCs w:val="22"/>
          <w:lang w:val="uk-UA"/>
        </w:rPr>
        <w:t>Н</w:t>
      </w:r>
      <w:r w:rsidR="00222DB2" w:rsidRPr="00834381">
        <w:rPr>
          <w:rFonts w:ascii="Cambria" w:hAnsi="Cambria"/>
          <w:i/>
          <w:iCs/>
          <w:color w:val="C00000"/>
          <w:sz w:val="22"/>
          <w:szCs w:val="22"/>
          <w:lang w:val="uk-UA"/>
        </w:rPr>
        <w:t xml:space="preserve">е висловлюючись з приводу винності підозрюваних, </w:t>
      </w:r>
      <w:r w:rsidR="00834381">
        <w:rPr>
          <w:rFonts w:ascii="Cambria" w:hAnsi="Cambria"/>
          <w:i/>
          <w:iCs/>
          <w:color w:val="C00000"/>
          <w:sz w:val="22"/>
          <w:szCs w:val="22"/>
          <w:lang w:val="uk-UA"/>
        </w:rPr>
        <w:t>Суд</w:t>
      </w:r>
      <w:r w:rsidR="00D13132" w:rsidRPr="00834381">
        <w:rPr>
          <w:rFonts w:ascii="Cambria" w:hAnsi="Cambria"/>
          <w:i/>
          <w:iCs/>
          <w:color w:val="C00000"/>
          <w:sz w:val="22"/>
          <w:szCs w:val="22"/>
          <w:lang w:val="uk-UA"/>
        </w:rPr>
        <w:t xml:space="preserve"> </w:t>
      </w:r>
      <w:r w:rsidR="00222DB2" w:rsidRPr="00834381">
        <w:rPr>
          <w:rFonts w:ascii="Cambria" w:hAnsi="Cambria"/>
          <w:i/>
          <w:iCs/>
          <w:color w:val="C00000"/>
          <w:sz w:val="22"/>
          <w:szCs w:val="22"/>
          <w:lang w:val="uk-UA"/>
        </w:rPr>
        <w:t xml:space="preserve">визнає, що ефективність розслідування у справі заявниці й, зокрема, підхід, який продемонстрували </w:t>
      </w:r>
      <w:r w:rsidR="00222DB2" w:rsidRPr="00D13132">
        <w:rPr>
          <w:rFonts w:ascii="Cambria" w:hAnsi="Cambria"/>
          <w:i/>
          <w:iCs/>
          <w:color w:val="C00000"/>
          <w:sz w:val="22"/>
          <w:szCs w:val="22"/>
          <w:lang w:val="uk-UA"/>
        </w:rPr>
        <w:t>у цій справі слідчий та прокурори, не відповідає вимогам, які випливають з позитивних обов’язків держав щодо впровадження та ефективного застосування системи кримінального права, яка забезпечує покарання за зґвалтування та статеві злочини</w:t>
      </w:r>
      <w:r w:rsidR="00D13132" w:rsidRPr="00D13132">
        <w:rPr>
          <w:rFonts w:ascii="Cambria" w:hAnsi="Cambria"/>
          <w:i/>
          <w:iCs/>
          <w:color w:val="C00000"/>
          <w:sz w:val="22"/>
          <w:szCs w:val="22"/>
          <w:lang w:val="uk-UA"/>
        </w:rPr>
        <w:t>»</w:t>
      </w:r>
      <w:r w:rsidRPr="00D13132">
        <w:rPr>
          <w:color w:val="C00000"/>
          <w:sz w:val="22"/>
          <w:szCs w:val="22"/>
          <w:lang w:val="uk-UA"/>
        </w:rPr>
        <w:t xml:space="preserve"> </w:t>
      </w:r>
      <w:r w:rsidRPr="003755B1">
        <w:rPr>
          <w:i/>
          <w:iCs/>
          <w:lang w:val="uk-UA"/>
        </w:rPr>
        <w:t>(</w:t>
      </w:r>
      <w:r w:rsidR="00222DB2" w:rsidRPr="003755B1">
        <w:rPr>
          <w:i/>
          <w:iCs/>
          <w:lang w:val="uk-UA"/>
        </w:rPr>
        <w:t>«М.С. v. Bulgaria», п. 185</w:t>
      </w:r>
      <w:r w:rsidRPr="003755B1">
        <w:rPr>
          <w:i/>
          <w:iCs/>
          <w:lang w:val="uk-UA"/>
        </w:rPr>
        <w:t>).</w:t>
      </w:r>
    </w:p>
    <w:p w14:paraId="3278EC10" w14:textId="77777777" w:rsidR="00222DB2" w:rsidRPr="00222DB2" w:rsidRDefault="00222DB2" w:rsidP="00222DB2">
      <w:pPr>
        <w:jc w:val="both"/>
        <w:rPr>
          <w:lang w:val="uk-UA"/>
        </w:rPr>
      </w:pPr>
    </w:p>
    <w:p w14:paraId="1166AD0B" w14:textId="68C5DC09" w:rsidR="00D13132" w:rsidRDefault="00D13132" w:rsidP="00222DB2">
      <w:pPr>
        <w:jc w:val="both"/>
        <w:rPr>
          <w:lang w:val="uk-UA"/>
        </w:rPr>
      </w:pPr>
      <w:r>
        <w:rPr>
          <w:lang w:val="uk-UA"/>
        </w:rPr>
        <w:t>Крім того, щ</w:t>
      </w:r>
      <w:r w:rsidR="003755B1">
        <w:rPr>
          <w:lang w:val="uk-UA"/>
        </w:rPr>
        <w:t>е раніше ЄСПЛ наголошував,</w:t>
      </w:r>
      <w:r w:rsidR="00834381">
        <w:rPr>
          <w:lang w:val="uk-UA"/>
        </w:rPr>
        <w:t xml:space="preserve"> </w:t>
      </w:r>
      <w:r w:rsidR="003755B1">
        <w:rPr>
          <w:lang w:val="uk-UA"/>
        </w:rPr>
        <w:t xml:space="preserve">що </w:t>
      </w:r>
      <w:r w:rsidR="003755B1" w:rsidRPr="00D13132">
        <w:rPr>
          <w:rFonts w:ascii="Cambria" w:hAnsi="Cambria"/>
          <w:i/>
          <w:iCs/>
          <w:color w:val="C00000"/>
          <w:sz w:val="22"/>
          <w:szCs w:val="22"/>
          <w:lang w:val="uk-UA"/>
        </w:rPr>
        <w:t>«</w:t>
      </w:r>
      <w:r w:rsidR="00222DB2" w:rsidRPr="00D13132">
        <w:rPr>
          <w:rFonts w:ascii="Cambria" w:hAnsi="Cambria"/>
          <w:i/>
          <w:iCs/>
          <w:color w:val="C00000"/>
          <w:sz w:val="22"/>
          <w:szCs w:val="22"/>
          <w:lang w:val="uk-UA"/>
        </w:rPr>
        <w:t>наявність дієвих механізмів виявлення та повідомлення про такі випадки має фундаментальне значення для ефективного застосування відповідного кримінального законодавства</w:t>
      </w:r>
      <w:r w:rsidR="003755B1" w:rsidRPr="00D13132">
        <w:rPr>
          <w:rFonts w:ascii="Cambria" w:hAnsi="Cambria"/>
          <w:i/>
          <w:iCs/>
          <w:color w:val="C00000"/>
          <w:sz w:val="22"/>
          <w:szCs w:val="22"/>
          <w:lang w:val="uk-UA"/>
        </w:rPr>
        <w:t>»</w:t>
      </w:r>
      <w:r w:rsidR="003755B1" w:rsidRPr="00D13132">
        <w:rPr>
          <w:color w:val="C00000"/>
          <w:sz w:val="22"/>
          <w:szCs w:val="22"/>
          <w:lang w:val="uk-UA"/>
        </w:rPr>
        <w:t xml:space="preserve"> </w:t>
      </w:r>
      <w:r w:rsidR="003755B1" w:rsidRPr="003755B1">
        <w:rPr>
          <w:i/>
          <w:iCs/>
          <w:lang w:val="uk-UA"/>
        </w:rPr>
        <w:t>(</w:t>
      </w:r>
      <w:r w:rsidR="00222DB2" w:rsidRPr="003755B1">
        <w:rPr>
          <w:i/>
          <w:iCs/>
          <w:lang w:val="uk-UA"/>
        </w:rPr>
        <w:t>«</w:t>
      </w:r>
      <w:proofErr w:type="spellStart"/>
      <w:r w:rsidR="00222DB2" w:rsidRPr="003755B1">
        <w:rPr>
          <w:i/>
          <w:iCs/>
          <w:lang w:val="uk-UA"/>
        </w:rPr>
        <w:t>O’Keeffe</w:t>
      </w:r>
      <w:proofErr w:type="spellEnd"/>
      <w:r w:rsidR="00222DB2" w:rsidRPr="003755B1">
        <w:rPr>
          <w:i/>
          <w:iCs/>
          <w:lang w:val="uk-UA"/>
        </w:rPr>
        <w:t xml:space="preserve"> v. Ireland» [GC], п. 148</w:t>
      </w:r>
      <w:r w:rsidR="003755B1" w:rsidRPr="003755B1">
        <w:rPr>
          <w:i/>
          <w:iCs/>
          <w:lang w:val="uk-UA"/>
        </w:rPr>
        <w:t>).</w:t>
      </w:r>
      <w:r w:rsidR="003755B1">
        <w:rPr>
          <w:lang w:val="uk-UA"/>
        </w:rPr>
        <w:t xml:space="preserve"> </w:t>
      </w:r>
    </w:p>
    <w:p w14:paraId="1EA7F22E" w14:textId="77777777" w:rsidR="00D13132" w:rsidRDefault="00D13132" w:rsidP="00222DB2">
      <w:pPr>
        <w:jc w:val="both"/>
        <w:rPr>
          <w:lang w:val="uk-UA"/>
        </w:rPr>
      </w:pPr>
    </w:p>
    <w:p w14:paraId="30050C4D" w14:textId="71B486CB" w:rsidR="00222DB2" w:rsidRDefault="003755B1" w:rsidP="00222DB2">
      <w:pPr>
        <w:jc w:val="both"/>
        <w:rPr>
          <w:lang w:val="uk-UA"/>
        </w:rPr>
      </w:pPr>
      <w:r>
        <w:rPr>
          <w:lang w:val="uk-UA"/>
        </w:rPr>
        <w:t>Проте у справі «</w:t>
      </w:r>
      <w:r w:rsidRPr="003755B1">
        <w:rPr>
          <w:rFonts w:ascii="Cambria" w:hAnsi="Cambria"/>
          <w:i/>
          <w:iCs/>
          <w:lang w:val="uk-UA"/>
        </w:rPr>
        <w:t xml:space="preserve">R.B. v. </w:t>
      </w:r>
      <w:proofErr w:type="spellStart"/>
      <w:r w:rsidRPr="003755B1">
        <w:rPr>
          <w:rFonts w:ascii="Cambria" w:hAnsi="Cambria"/>
          <w:i/>
          <w:iCs/>
          <w:lang w:val="uk-UA"/>
        </w:rPr>
        <w:t>Estonia</w:t>
      </w:r>
      <w:proofErr w:type="spellEnd"/>
      <w:r w:rsidRPr="002770C7">
        <w:rPr>
          <w:lang w:val="uk-UA"/>
        </w:rPr>
        <w:t>»</w:t>
      </w:r>
      <w:r>
        <w:rPr>
          <w:lang w:val="uk-UA"/>
        </w:rPr>
        <w:t xml:space="preserve"> практика ЄСПЛ </w:t>
      </w:r>
      <w:r w:rsidR="00D13132">
        <w:rPr>
          <w:lang w:val="uk-UA"/>
        </w:rPr>
        <w:t xml:space="preserve">значно </w:t>
      </w:r>
      <w:r>
        <w:rPr>
          <w:lang w:val="uk-UA"/>
        </w:rPr>
        <w:t>рушила вперед, де на порядку денному опини</w:t>
      </w:r>
      <w:r w:rsidR="00987619">
        <w:rPr>
          <w:lang w:val="uk-UA"/>
        </w:rPr>
        <w:t xml:space="preserve">вся баланс між позитивними зобов’язаннями державами за ст. 3 і ст. 8 Конвенції і правами обвинуваченого за ст. 6 Конвенції, де перевага </w:t>
      </w:r>
      <w:r w:rsidR="00987619" w:rsidRPr="00D13132">
        <w:rPr>
          <w:rFonts w:ascii="Cambria" w:hAnsi="Cambria"/>
          <w:i/>
          <w:iCs/>
          <w:color w:val="0432FF"/>
          <w:sz w:val="22"/>
          <w:szCs w:val="22"/>
          <w:lang w:val="uk-UA"/>
        </w:rPr>
        <w:t>на національному рівні</w:t>
      </w:r>
      <w:r w:rsidR="00987619" w:rsidRPr="00D13132">
        <w:rPr>
          <w:sz w:val="22"/>
          <w:szCs w:val="22"/>
          <w:lang w:val="uk-UA"/>
        </w:rPr>
        <w:t xml:space="preserve"> </w:t>
      </w:r>
      <w:r w:rsidR="00987619">
        <w:rPr>
          <w:lang w:val="uk-UA"/>
        </w:rPr>
        <w:t>була віддана права</w:t>
      </w:r>
      <w:r w:rsidR="00694D48">
        <w:rPr>
          <w:lang w:val="uk-UA"/>
        </w:rPr>
        <w:t>м</w:t>
      </w:r>
      <w:r w:rsidR="00987619">
        <w:rPr>
          <w:lang w:val="uk-UA"/>
        </w:rPr>
        <w:t xml:space="preserve"> обвинуваченого, що автоматично обумовило відповідальність держави вже на рівні ЄСПЛ за ст. 3 і ст. 8 Конвенції.</w:t>
      </w:r>
    </w:p>
    <w:p w14:paraId="3BDEC6E1" w14:textId="783829DB" w:rsidR="00987619" w:rsidRDefault="00987619" w:rsidP="00222DB2">
      <w:pPr>
        <w:jc w:val="both"/>
        <w:rPr>
          <w:lang w:val="uk-UA"/>
        </w:rPr>
      </w:pPr>
    </w:p>
    <w:p w14:paraId="14647CD2" w14:textId="0A331974" w:rsidR="00215AF9" w:rsidRPr="00222DB2" w:rsidRDefault="00694D48" w:rsidP="00694D48">
      <w:pPr>
        <w:jc w:val="both"/>
        <w:rPr>
          <w:lang w:val="uk-UA"/>
        </w:rPr>
      </w:pPr>
      <w:r>
        <w:rPr>
          <w:lang w:val="uk-UA"/>
        </w:rPr>
        <w:t xml:space="preserve">Отже, </w:t>
      </w:r>
      <w:r w:rsidR="00215AF9" w:rsidRPr="00222DB2">
        <w:rPr>
          <w:lang w:val="uk-UA"/>
        </w:rPr>
        <w:t xml:space="preserve">права стосується скарги заявниці відповідно до ст. 3 і ст. 8 Конвенції про те, що органи влади не провели ефективного кримінального розслідування за її заявами про сексуальне насильство з боку її батька, який був виправданий через порушення процесуальних правил </w:t>
      </w:r>
      <w:r w:rsidR="00D13132">
        <w:rPr>
          <w:lang w:val="uk-UA"/>
        </w:rPr>
        <w:t xml:space="preserve">у </w:t>
      </w:r>
      <w:r w:rsidR="00215AF9" w:rsidRPr="00222DB2">
        <w:rPr>
          <w:lang w:val="uk-UA"/>
        </w:rPr>
        <w:t>процесі отримання доказів у справі.</w:t>
      </w:r>
    </w:p>
    <w:p w14:paraId="346150C6" w14:textId="6E15434D" w:rsidR="00215AF9" w:rsidRPr="00222DB2" w:rsidRDefault="00215AF9" w:rsidP="00215AF9">
      <w:pPr>
        <w:pStyle w:val="JuPara"/>
        <w:ind w:firstLine="0"/>
        <w:rPr>
          <w:lang w:val="uk-UA"/>
        </w:rPr>
      </w:pPr>
    </w:p>
    <w:p w14:paraId="76E9D76B" w14:textId="74568437" w:rsidR="00D13132" w:rsidRDefault="00804E48" w:rsidP="00804E48">
      <w:pPr>
        <w:pStyle w:val="JuPara"/>
        <w:ind w:firstLine="0"/>
        <w:rPr>
          <w:lang w:val="uk-UA"/>
        </w:rPr>
      </w:pPr>
      <w:r w:rsidRPr="00222DB2">
        <w:rPr>
          <w:lang w:val="uk-UA"/>
        </w:rPr>
        <w:t xml:space="preserve">Зокрема, свідчення дитини-жертви були отримані з порушенням двох істотних вимог кримінального процесу. По-перше, дитина не була поінформована про свій обов’язок говорити правду, щоб вона могла зрозуміти наслідки її свідчень для її батька. По-друге, дитині не роз’яснювали її право не давати показань проти своїх рідних. </w:t>
      </w:r>
    </w:p>
    <w:p w14:paraId="2CCB4FB9" w14:textId="77777777" w:rsidR="00D13132" w:rsidRDefault="00D13132" w:rsidP="00804E48">
      <w:pPr>
        <w:pStyle w:val="JuPara"/>
        <w:ind w:firstLine="0"/>
        <w:rPr>
          <w:lang w:val="uk-UA"/>
        </w:rPr>
      </w:pPr>
    </w:p>
    <w:p w14:paraId="40E799A7" w14:textId="55A5709E" w:rsidR="00804E48" w:rsidRDefault="00804E48" w:rsidP="00804E48">
      <w:pPr>
        <w:pStyle w:val="JuPara"/>
        <w:ind w:firstLine="0"/>
        <w:rPr>
          <w:lang w:val="uk-UA"/>
        </w:rPr>
      </w:pPr>
      <w:r w:rsidRPr="00222DB2">
        <w:rPr>
          <w:lang w:val="uk-UA"/>
        </w:rPr>
        <w:t xml:space="preserve">Ці дві вимоги були чітко викладені в </w:t>
      </w:r>
      <w:r w:rsidR="00834381">
        <w:rPr>
          <w:lang w:val="uk-UA"/>
        </w:rPr>
        <w:t xml:space="preserve">естонському </w:t>
      </w:r>
      <w:r w:rsidRPr="00222DB2">
        <w:rPr>
          <w:lang w:val="uk-UA"/>
        </w:rPr>
        <w:t>законодавстві та застосовувались також до неповнолітніх, яких слід повідомляти про це відповідно до їх віку.</w:t>
      </w:r>
    </w:p>
    <w:p w14:paraId="7853C0F8" w14:textId="401EF4A3" w:rsidR="00B54393" w:rsidRDefault="00B54393" w:rsidP="00804E48">
      <w:pPr>
        <w:pStyle w:val="JuPara"/>
        <w:ind w:firstLine="0"/>
        <w:rPr>
          <w:lang w:val="uk-UA"/>
        </w:rPr>
      </w:pPr>
    </w:p>
    <w:p w14:paraId="7E9BE581" w14:textId="11FB4377" w:rsidR="00B54393" w:rsidRDefault="00B54393" w:rsidP="00804E48">
      <w:pPr>
        <w:pStyle w:val="JuPara"/>
        <w:ind w:firstLine="0"/>
        <w:rPr>
          <w:lang w:val="uk-UA"/>
        </w:rPr>
      </w:pPr>
      <w:r w:rsidRPr="00222DB2">
        <w:rPr>
          <w:lang w:val="uk-UA"/>
        </w:rPr>
        <w:t xml:space="preserve">ЄСПЛ </w:t>
      </w:r>
      <w:r>
        <w:rPr>
          <w:lang w:val="uk-UA"/>
        </w:rPr>
        <w:t>у цій справі наголосив:</w:t>
      </w:r>
      <w:r w:rsidRPr="00222DB2">
        <w:rPr>
          <w:lang w:val="uk-UA"/>
        </w:rPr>
        <w:t xml:space="preserve"> </w:t>
      </w:r>
      <w:r w:rsidR="00D13132" w:rsidRPr="00D13132">
        <w:rPr>
          <w:rFonts w:ascii="Cambria" w:hAnsi="Cambria"/>
          <w:i/>
          <w:iCs/>
          <w:color w:val="C00000"/>
          <w:sz w:val="22"/>
          <w:szCs w:val="22"/>
          <w:lang w:val="uk-UA"/>
        </w:rPr>
        <w:t>«Д</w:t>
      </w:r>
      <w:r w:rsidRPr="00D13132">
        <w:rPr>
          <w:rFonts w:ascii="Cambria" w:hAnsi="Cambria"/>
          <w:i/>
          <w:iCs/>
          <w:color w:val="C00000"/>
          <w:sz w:val="22"/>
          <w:szCs w:val="22"/>
          <w:lang w:val="uk-UA"/>
        </w:rPr>
        <w:t xml:space="preserve">ля ефективного захисту прав дітей відповідно до міжнародних стандартів дуже важливо захистити їх свідчення як під час досудового розслідування, так і під час судового розгляду. Естонське законодавство, що стосується попереджень для свідків, не проводить </w:t>
      </w:r>
      <w:r w:rsidR="00834381">
        <w:rPr>
          <w:rFonts w:ascii="Cambria" w:hAnsi="Cambria"/>
          <w:i/>
          <w:iCs/>
          <w:color w:val="C00000"/>
          <w:sz w:val="22"/>
          <w:szCs w:val="22"/>
          <w:lang w:val="uk-UA"/>
        </w:rPr>
        <w:t>відмінності</w:t>
      </w:r>
      <w:r w:rsidRPr="00D13132">
        <w:rPr>
          <w:rFonts w:ascii="Cambria" w:hAnsi="Cambria"/>
          <w:i/>
          <w:iCs/>
          <w:color w:val="C00000"/>
          <w:sz w:val="22"/>
          <w:szCs w:val="22"/>
          <w:lang w:val="uk-UA"/>
        </w:rPr>
        <w:t xml:space="preserve"> між свідками відповідно до їх віку, а отже, не передбачає винятків або адаптацій для свідків-дітей. У зв’язку з цим ЄСПЛ зазначає, що відповідно до Керівних принципів Комітету міністрів Ради Європи щодо правосуддя, дружнього до дітей, де застосовуються менш суворі правила щодо дачі показань чи інші заходи, придатні для дитини, такі заходи самі по собі не повинні зменшувати значення до свідчень чи доказів дитини без шкоди для прав на захист. Однак у цій справі свідчення заявниці були визнані недопустимими саме через суворе застосування процесуальних правил, що не робили </w:t>
      </w:r>
      <w:r w:rsidR="00834381">
        <w:rPr>
          <w:rFonts w:ascii="Cambria" w:hAnsi="Cambria"/>
          <w:i/>
          <w:iCs/>
          <w:color w:val="C00000"/>
          <w:sz w:val="22"/>
          <w:szCs w:val="22"/>
          <w:lang w:val="uk-UA"/>
        </w:rPr>
        <w:t>відмінності</w:t>
      </w:r>
      <w:r w:rsidRPr="00D13132">
        <w:rPr>
          <w:rFonts w:ascii="Cambria" w:hAnsi="Cambria"/>
          <w:i/>
          <w:iCs/>
          <w:color w:val="C00000"/>
          <w:sz w:val="22"/>
          <w:szCs w:val="22"/>
          <w:lang w:val="uk-UA"/>
        </w:rPr>
        <w:t xml:space="preserve"> між дорослими та дітьми. ЄСПЛ повторює, що його не турбує відповідальність будь-якого конкретного національного органу, оскільки те, що йдеться у всіх справах, що розглядаються, – це міжнародна відповідальність держави</w:t>
      </w:r>
      <w:r w:rsidR="00D13132" w:rsidRPr="00D13132">
        <w:rPr>
          <w:rFonts w:ascii="Cambria" w:hAnsi="Cambria"/>
          <w:i/>
          <w:iCs/>
          <w:color w:val="C00000"/>
          <w:sz w:val="22"/>
          <w:szCs w:val="22"/>
          <w:lang w:val="uk-UA"/>
        </w:rPr>
        <w:t>»</w:t>
      </w:r>
      <w:r w:rsidRPr="00D13132">
        <w:rPr>
          <w:rFonts w:ascii="Cambria" w:hAnsi="Cambria"/>
          <w:i/>
          <w:iCs/>
          <w:color w:val="C00000"/>
          <w:sz w:val="22"/>
          <w:szCs w:val="22"/>
          <w:lang w:val="uk-UA"/>
        </w:rPr>
        <w:t>.</w:t>
      </w:r>
    </w:p>
    <w:p w14:paraId="67AE164F" w14:textId="1C9AC9BD" w:rsidR="00694D48" w:rsidRDefault="00694D48" w:rsidP="00804E48">
      <w:pPr>
        <w:pStyle w:val="JuPara"/>
        <w:ind w:firstLine="0"/>
        <w:rPr>
          <w:lang w:val="uk-UA"/>
        </w:rPr>
      </w:pPr>
    </w:p>
    <w:p w14:paraId="4BBD5E55" w14:textId="77777777" w:rsidR="00834381" w:rsidRPr="00834381" w:rsidRDefault="00694D48" w:rsidP="00834381">
      <w:pPr>
        <w:pStyle w:val="JuPara"/>
        <w:ind w:left="2160" w:firstLine="0"/>
        <w:jc w:val="center"/>
        <w:rPr>
          <w:b/>
          <w:bCs/>
          <w:sz w:val="21"/>
          <w:szCs w:val="21"/>
          <w:lang w:val="uk-UA"/>
        </w:rPr>
      </w:pPr>
      <w:r w:rsidRPr="00834381">
        <w:rPr>
          <w:b/>
          <w:bCs/>
          <w:sz w:val="21"/>
          <w:szCs w:val="21"/>
          <w:u w:val="single"/>
          <w:lang w:val="uk-UA"/>
        </w:rPr>
        <w:t>Для порівняння</w:t>
      </w:r>
      <w:r w:rsidRPr="00834381">
        <w:rPr>
          <w:b/>
          <w:bCs/>
          <w:sz w:val="21"/>
          <w:szCs w:val="21"/>
          <w:lang w:val="uk-UA"/>
        </w:rPr>
        <w:t>:</w:t>
      </w:r>
    </w:p>
    <w:p w14:paraId="27F20ED6" w14:textId="77777777" w:rsidR="00834381" w:rsidRDefault="00834381" w:rsidP="00834381">
      <w:pPr>
        <w:pStyle w:val="JuPara"/>
        <w:ind w:left="2160" w:firstLine="0"/>
        <w:rPr>
          <w:sz w:val="21"/>
          <w:szCs w:val="21"/>
          <w:lang w:val="uk-UA"/>
        </w:rPr>
      </w:pPr>
    </w:p>
    <w:p w14:paraId="418C6C7C" w14:textId="77777777" w:rsidR="00834381" w:rsidRDefault="00834381" w:rsidP="00834381">
      <w:pPr>
        <w:pStyle w:val="JuPara"/>
        <w:ind w:left="2160" w:firstLine="0"/>
        <w:rPr>
          <w:sz w:val="21"/>
          <w:szCs w:val="21"/>
          <w:lang w:val="uk-UA"/>
        </w:rPr>
      </w:pPr>
      <w:r>
        <w:rPr>
          <w:sz w:val="21"/>
          <w:szCs w:val="21"/>
          <w:lang w:val="uk-UA"/>
        </w:rPr>
        <w:t>Ві</w:t>
      </w:r>
      <w:r w:rsidR="00694D48" w:rsidRPr="00834381">
        <w:rPr>
          <w:sz w:val="21"/>
          <w:szCs w:val="21"/>
          <w:lang w:val="uk-UA"/>
        </w:rPr>
        <w:t xml:space="preserve">дповідно до ч. 3 ст. 226 КПК України, особам, які не досягли шістнадцятирічного віку, роз’яснюється обов’язок про необхідність давання правдивих показань, не попереджуючи про кримінальну </w:t>
      </w:r>
      <w:r w:rsidR="00694D48" w:rsidRPr="00834381">
        <w:rPr>
          <w:sz w:val="21"/>
          <w:szCs w:val="21"/>
          <w:lang w:val="uk-UA"/>
        </w:rPr>
        <w:lastRenderedPageBreak/>
        <w:t>відповідальність за відмову від давання показань і за завідомо неправдиві показання.</w:t>
      </w:r>
    </w:p>
    <w:p w14:paraId="552A2C50" w14:textId="77777777" w:rsidR="00834381" w:rsidRDefault="00834381" w:rsidP="00834381">
      <w:pPr>
        <w:pStyle w:val="JuPara"/>
        <w:ind w:left="2160" w:firstLine="0"/>
        <w:rPr>
          <w:sz w:val="21"/>
          <w:szCs w:val="21"/>
          <w:lang w:val="uk-UA"/>
        </w:rPr>
      </w:pPr>
    </w:p>
    <w:p w14:paraId="520597EC" w14:textId="432A9F32" w:rsidR="00694D48" w:rsidRPr="00834381" w:rsidRDefault="00834381" w:rsidP="00834381">
      <w:pPr>
        <w:pStyle w:val="JuPara"/>
        <w:ind w:left="2160" w:firstLine="0"/>
        <w:rPr>
          <w:sz w:val="21"/>
          <w:szCs w:val="21"/>
          <w:lang w:val="uk-UA"/>
        </w:rPr>
      </w:pPr>
      <w:r>
        <w:rPr>
          <w:sz w:val="21"/>
          <w:szCs w:val="21"/>
          <w:lang w:val="uk-UA"/>
        </w:rPr>
        <w:t>В</w:t>
      </w:r>
      <w:r w:rsidR="00694D48" w:rsidRPr="00834381">
        <w:rPr>
          <w:sz w:val="21"/>
          <w:szCs w:val="21"/>
          <w:lang w:val="uk-UA"/>
        </w:rPr>
        <w:t>ідповідно до ч. 3 ст. 18 КПК, жодна особа не може бути примушена давати пояснення, показання, які можуть стати підставою для підозри, обвинувачення у вчиненні її близькими родичами чи членами її сім’ї кримінального правопорушення.</w:t>
      </w:r>
    </w:p>
    <w:p w14:paraId="0B9EA958" w14:textId="60D35C39" w:rsidR="00694D48" w:rsidRDefault="00694D48" w:rsidP="00804E48">
      <w:pPr>
        <w:pStyle w:val="JuPara"/>
        <w:ind w:firstLine="0"/>
        <w:rPr>
          <w:lang w:val="uk-UA"/>
        </w:rPr>
      </w:pPr>
    </w:p>
    <w:p w14:paraId="2785ECF2" w14:textId="71104B94" w:rsidR="00694D48" w:rsidRDefault="00D13132" w:rsidP="00804E48">
      <w:pPr>
        <w:pStyle w:val="JuPara"/>
        <w:ind w:firstLine="0"/>
        <w:rPr>
          <w:lang w:val="uk-UA"/>
        </w:rPr>
      </w:pPr>
      <w:r>
        <w:rPr>
          <w:lang w:val="uk-UA"/>
        </w:rPr>
        <w:t>Отже, ц</w:t>
      </w:r>
      <w:r w:rsidR="00694D48">
        <w:rPr>
          <w:lang w:val="uk-UA"/>
        </w:rPr>
        <w:t>я справа – про прикру непоправну процесуальну помилку, яка має стати попередженням для вітчизняних слідчих та прокурорів. Як з огляду на неможливість втечі злочинців від відповідальності</w:t>
      </w:r>
      <w:r w:rsidR="00834381">
        <w:rPr>
          <w:lang w:val="uk-UA"/>
        </w:rPr>
        <w:t xml:space="preserve"> у подібних справах</w:t>
      </w:r>
      <w:r w:rsidR="00694D48">
        <w:rPr>
          <w:lang w:val="uk-UA"/>
        </w:rPr>
        <w:t>, так і з огляду на виконання державою в цілому своїх зобов’язань за ст. 3 і ст. 8 Конвенції.</w:t>
      </w:r>
    </w:p>
    <w:p w14:paraId="761C0A66" w14:textId="77777777" w:rsidR="00834381" w:rsidRDefault="00834381" w:rsidP="00804E48">
      <w:pPr>
        <w:pStyle w:val="JuPara"/>
        <w:ind w:firstLine="0"/>
        <w:rPr>
          <w:lang w:val="uk-UA"/>
        </w:rPr>
      </w:pPr>
    </w:p>
    <w:p w14:paraId="5D44ED78" w14:textId="3856F9AC" w:rsidR="00694D48" w:rsidRDefault="00694D48" w:rsidP="00804E48">
      <w:pPr>
        <w:pStyle w:val="JuPara"/>
        <w:ind w:firstLine="0"/>
        <w:rPr>
          <w:lang w:val="uk-UA"/>
        </w:rPr>
      </w:pPr>
    </w:p>
    <w:p w14:paraId="0E67CDF3" w14:textId="5BE91385" w:rsidR="005A41AB" w:rsidRPr="00222DB2" w:rsidRDefault="00694D48" w:rsidP="00D13132">
      <w:pPr>
        <w:pStyle w:val="JuPara"/>
        <w:ind w:firstLine="0"/>
        <w:jc w:val="center"/>
        <w:rPr>
          <w:lang w:val="uk-UA"/>
        </w:rPr>
      </w:pPr>
      <w:r w:rsidRPr="00222DB2">
        <w:rPr>
          <w:noProof/>
          <w:lang w:val="uk-UA"/>
        </w:rPr>
        <w:drawing>
          <wp:inline distT="0" distB="0" distL="0" distR="0" wp14:anchorId="025A9A43" wp14:editId="31E86BE5">
            <wp:extent cx="1414462" cy="707230"/>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1"/>
                    <a:stretch>
                      <a:fillRect/>
                    </a:stretch>
                  </pic:blipFill>
                  <pic:spPr>
                    <a:xfrm>
                      <a:off x="0" y="0"/>
                      <a:ext cx="1433901" cy="716950"/>
                    </a:xfrm>
                    <a:prstGeom prst="rect">
                      <a:avLst/>
                    </a:prstGeom>
                  </pic:spPr>
                </pic:pic>
              </a:graphicData>
            </a:graphic>
          </wp:inline>
        </w:drawing>
      </w:r>
    </w:p>
    <w:p w14:paraId="2E025AF0" w14:textId="77777777" w:rsidR="005A41AB" w:rsidRPr="00222DB2" w:rsidRDefault="005A41AB" w:rsidP="005A41AB">
      <w:pPr>
        <w:pStyle w:val="JuPara"/>
        <w:rPr>
          <w:lang w:val="uk-UA"/>
        </w:rPr>
      </w:pPr>
    </w:p>
    <w:p w14:paraId="0C5417D5" w14:textId="77777777" w:rsidR="00834381" w:rsidRDefault="00834381" w:rsidP="001617F8">
      <w:pPr>
        <w:pStyle w:val="JuPara"/>
        <w:ind w:firstLine="0"/>
        <w:rPr>
          <w:lang w:val="uk-UA"/>
        </w:rPr>
      </w:pPr>
    </w:p>
    <w:p w14:paraId="4BBC4746" w14:textId="2CC7E976" w:rsidR="001617F8" w:rsidRPr="00222DB2" w:rsidRDefault="001617F8" w:rsidP="001617F8">
      <w:pPr>
        <w:pStyle w:val="JuPara"/>
        <w:ind w:firstLine="0"/>
        <w:rPr>
          <w:lang w:val="uk-UA"/>
        </w:rPr>
      </w:pPr>
      <w:r w:rsidRPr="00222DB2">
        <w:rPr>
          <w:lang w:val="uk-UA"/>
        </w:rPr>
        <w:t>ВСТУП</w:t>
      </w:r>
    </w:p>
    <w:p w14:paraId="3B53C77D" w14:textId="77777777" w:rsidR="001617F8" w:rsidRPr="00222DB2" w:rsidRDefault="001617F8" w:rsidP="001617F8">
      <w:pPr>
        <w:pStyle w:val="JuPara"/>
        <w:ind w:firstLine="0"/>
        <w:rPr>
          <w:lang w:val="uk-UA"/>
        </w:rPr>
      </w:pPr>
    </w:p>
    <w:p w14:paraId="40F2495C" w14:textId="5848C3C4" w:rsidR="001617F8" w:rsidRPr="00222DB2" w:rsidRDefault="001617F8" w:rsidP="001617F8">
      <w:pPr>
        <w:pStyle w:val="JuPara"/>
        <w:ind w:firstLine="0"/>
        <w:rPr>
          <w:lang w:val="uk-UA"/>
        </w:rPr>
      </w:pPr>
      <w:r w:rsidRPr="00222DB2">
        <w:rPr>
          <w:lang w:val="uk-UA"/>
        </w:rPr>
        <w:t xml:space="preserve">Справа стосується скарги заявниці відповідно до ст. 3 </w:t>
      </w:r>
      <w:r w:rsidR="00215AF9" w:rsidRPr="00222DB2">
        <w:rPr>
          <w:lang w:val="uk-UA"/>
        </w:rPr>
        <w:t>і</w:t>
      </w:r>
      <w:r w:rsidRPr="00222DB2">
        <w:rPr>
          <w:lang w:val="uk-UA"/>
        </w:rPr>
        <w:t xml:space="preserve"> ст. 8 Конвенції про те, що органи влади не провели ефективного кримінального розслідування за її заявами про сексуальне насильство з боку її батька, який був виправданий через порушення процесуальних правил </w:t>
      </w:r>
      <w:r w:rsidR="00215AF9" w:rsidRPr="00222DB2">
        <w:rPr>
          <w:lang w:val="uk-UA"/>
        </w:rPr>
        <w:t xml:space="preserve">в процесі отримання доказів у справі </w:t>
      </w:r>
      <w:r w:rsidRPr="00222DB2">
        <w:rPr>
          <w:lang w:val="uk-UA"/>
        </w:rPr>
        <w:t>(п. 1).</w:t>
      </w:r>
    </w:p>
    <w:p w14:paraId="5A1F729C" w14:textId="037CA39E" w:rsidR="001617F8" w:rsidRPr="00222DB2" w:rsidRDefault="001617F8" w:rsidP="001617F8">
      <w:pPr>
        <w:pStyle w:val="JuPara"/>
        <w:ind w:firstLine="0"/>
        <w:rPr>
          <w:lang w:val="uk-UA"/>
        </w:rPr>
      </w:pPr>
    </w:p>
    <w:p w14:paraId="174AF17F" w14:textId="77777777" w:rsidR="001617F8" w:rsidRPr="00222DB2" w:rsidRDefault="001617F8" w:rsidP="001617F8">
      <w:pPr>
        <w:pStyle w:val="JuPara"/>
        <w:ind w:firstLine="0"/>
        <w:rPr>
          <w:lang w:val="uk-UA"/>
        </w:rPr>
      </w:pPr>
      <w:r w:rsidRPr="00222DB2">
        <w:rPr>
          <w:lang w:val="uk-UA"/>
        </w:rPr>
        <w:t>ФАКТИ</w:t>
      </w:r>
    </w:p>
    <w:p w14:paraId="757BBF7D" w14:textId="77777777" w:rsidR="001617F8" w:rsidRPr="00222DB2" w:rsidRDefault="001617F8" w:rsidP="001617F8">
      <w:pPr>
        <w:pStyle w:val="JuPara"/>
        <w:ind w:firstLine="0"/>
        <w:rPr>
          <w:lang w:val="uk-UA"/>
        </w:rPr>
      </w:pPr>
    </w:p>
    <w:p w14:paraId="19D24DF5" w14:textId="50E2F0C2" w:rsidR="001617F8" w:rsidRPr="00222DB2" w:rsidRDefault="001617F8" w:rsidP="001617F8">
      <w:pPr>
        <w:pStyle w:val="JuPara"/>
        <w:ind w:firstLine="0"/>
        <w:rPr>
          <w:lang w:val="uk-UA"/>
        </w:rPr>
      </w:pPr>
      <w:r w:rsidRPr="00222DB2">
        <w:rPr>
          <w:lang w:val="uk-UA"/>
        </w:rPr>
        <w:t xml:space="preserve">Заявниця народилася в серпні 2007 року. У вересні 2010 року її батьки розлучились. Заявниця продовжувала жити з матір’ю та зустрічалася з батьком згідно з домовленістю між </w:t>
      </w:r>
      <w:r w:rsidR="00215AF9" w:rsidRPr="00222DB2">
        <w:rPr>
          <w:lang w:val="uk-UA"/>
        </w:rPr>
        <w:t xml:space="preserve">її </w:t>
      </w:r>
      <w:r w:rsidRPr="00222DB2">
        <w:rPr>
          <w:lang w:val="uk-UA"/>
        </w:rPr>
        <w:t xml:space="preserve">батьками. З лютого 2012 року зустрічі з дитиною відбувались </w:t>
      </w:r>
      <w:r w:rsidR="00215AF9" w:rsidRPr="00222DB2">
        <w:rPr>
          <w:lang w:val="uk-UA"/>
        </w:rPr>
        <w:t>за</w:t>
      </w:r>
      <w:r w:rsidRPr="00222DB2">
        <w:rPr>
          <w:lang w:val="uk-UA"/>
        </w:rPr>
        <w:t xml:space="preserve"> </w:t>
      </w:r>
      <w:r w:rsidR="00215AF9" w:rsidRPr="00222DB2">
        <w:rPr>
          <w:lang w:val="uk-UA"/>
        </w:rPr>
        <w:t>правилами</w:t>
      </w:r>
      <w:r w:rsidRPr="00222DB2">
        <w:rPr>
          <w:lang w:val="uk-UA"/>
        </w:rPr>
        <w:t>, визначени</w:t>
      </w:r>
      <w:r w:rsidR="00215AF9" w:rsidRPr="00222DB2">
        <w:rPr>
          <w:lang w:val="uk-UA"/>
        </w:rPr>
        <w:t>ми</w:t>
      </w:r>
      <w:r w:rsidRPr="00222DB2">
        <w:rPr>
          <w:lang w:val="uk-UA"/>
        </w:rPr>
        <w:t xml:space="preserve"> судом </w:t>
      </w:r>
      <w:r w:rsidRPr="00222DB2">
        <w:rPr>
          <w:i/>
          <w:iCs/>
          <w:lang w:val="uk-UA"/>
        </w:rPr>
        <w:t>(див. цивільне провадження нижче)</w:t>
      </w:r>
      <w:r w:rsidRPr="00222DB2">
        <w:rPr>
          <w:lang w:val="uk-UA"/>
        </w:rPr>
        <w:t xml:space="preserve"> (п. 5).</w:t>
      </w:r>
    </w:p>
    <w:p w14:paraId="7BCBBC26" w14:textId="77777777" w:rsidR="001617F8" w:rsidRPr="00222DB2" w:rsidRDefault="001617F8" w:rsidP="001617F8">
      <w:pPr>
        <w:pStyle w:val="JuPara"/>
        <w:ind w:firstLine="0"/>
        <w:rPr>
          <w:lang w:val="uk-UA"/>
        </w:rPr>
      </w:pPr>
    </w:p>
    <w:p w14:paraId="5C8807B9" w14:textId="4FF71728" w:rsidR="001617F8" w:rsidRPr="00222DB2" w:rsidRDefault="001617F8" w:rsidP="001617F8">
      <w:pPr>
        <w:pStyle w:val="JuPara"/>
        <w:ind w:firstLine="0"/>
        <w:rPr>
          <w:lang w:val="uk-UA"/>
        </w:rPr>
      </w:pPr>
      <w:r w:rsidRPr="00222DB2">
        <w:rPr>
          <w:lang w:val="uk-UA"/>
        </w:rPr>
        <w:t xml:space="preserve">Згідно </w:t>
      </w:r>
      <w:r w:rsidR="00834381">
        <w:rPr>
          <w:lang w:val="uk-UA"/>
        </w:rPr>
        <w:t>і</w:t>
      </w:r>
      <w:r w:rsidRPr="00222DB2">
        <w:rPr>
          <w:lang w:val="uk-UA"/>
        </w:rPr>
        <w:t>з заявами матері заявни</w:t>
      </w:r>
      <w:r w:rsidR="00215AF9" w:rsidRPr="00222DB2">
        <w:rPr>
          <w:lang w:val="uk-UA"/>
        </w:rPr>
        <w:t>ці</w:t>
      </w:r>
      <w:r w:rsidRPr="00222DB2">
        <w:rPr>
          <w:lang w:val="uk-UA"/>
        </w:rPr>
        <w:t xml:space="preserve"> у подальшому кримінальному провадженні, вона стала підозрілою щодо поведінки батька вже у 2009 році, коли її до</w:t>
      </w:r>
      <w:r w:rsidR="00834381">
        <w:rPr>
          <w:lang w:val="uk-UA"/>
        </w:rPr>
        <w:t>нь</w:t>
      </w:r>
      <w:r w:rsidRPr="00222DB2">
        <w:rPr>
          <w:lang w:val="uk-UA"/>
        </w:rPr>
        <w:t xml:space="preserve">ка скаржилася на біль у нижній частині спини. У 2011 році </w:t>
      </w:r>
      <w:r w:rsidR="00834381">
        <w:rPr>
          <w:lang w:val="uk-UA"/>
        </w:rPr>
        <w:t>матір заявниці</w:t>
      </w:r>
      <w:r w:rsidRPr="00222DB2">
        <w:rPr>
          <w:lang w:val="uk-UA"/>
        </w:rPr>
        <w:t xml:space="preserve"> почала помічати зміни у поведінці дочки, коли </w:t>
      </w:r>
      <w:r w:rsidR="00834381">
        <w:rPr>
          <w:lang w:val="uk-UA"/>
        </w:rPr>
        <w:t xml:space="preserve">та </w:t>
      </w:r>
      <w:r w:rsidRPr="00222DB2">
        <w:rPr>
          <w:lang w:val="uk-UA"/>
        </w:rPr>
        <w:t xml:space="preserve">повернулася </w:t>
      </w:r>
      <w:r w:rsidR="00215AF9" w:rsidRPr="00222DB2">
        <w:rPr>
          <w:lang w:val="uk-UA"/>
        </w:rPr>
        <w:t xml:space="preserve">від </w:t>
      </w:r>
      <w:r w:rsidRPr="00222DB2">
        <w:rPr>
          <w:lang w:val="uk-UA"/>
        </w:rPr>
        <w:t>батьк</w:t>
      </w:r>
      <w:r w:rsidR="00215AF9" w:rsidRPr="00222DB2">
        <w:rPr>
          <w:lang w:val="uk-UA"/>
        </w:rPr>
        <w:t>а</w:t>
      </w:r>
      <w:r w:rsidRPr="00222DB2">
        <w:rPr>
          <w:lang w:val="uk-UA"/>
        </w:rPr>
        <w:t xml:space="preserve">. Під час </w:t>
      </w:r>
      <w:r w:rsidR="00215AF9" w:rsidRPr="00222DB2">
        <w:rPr>
          <w:lang w:val="uk-UA"/>
        </w:rPr>
        <w:t>опитування</w:t>
      </w:r>
      <w:r w:rsidRPr="00222DB2">
        <w:rPr>
          <w:lang w:val="uk-UA"/>
        </w:rPr>
        <w:t xml:space="preserve"> </w:t>
      </w:r>
      <w:r w:rsidR="00834381">
        <w:rPr>
          <w:lang w:val="uk-UA"/>
        </w:rPr>
        <w:t>заявниця</w:t>
      </w:r>
      <w:r w:rsidRPr="00222DB2">
        <w:rPr>
          <w:lang w:val="uk-UA"/>
        </w:rPr>
        <w:t xml:space="preserve"> </w:t>
      </w:r>
      <w:r w:rsidR="00834381">
        <w:rPr>
          <w:lang w:val="uk-UA"/>
        </w:rPr>
        <w:t>сказала своїй матері</w:t>
      </w:r>
      <w:r w:rsidRPr="00222DB2">
        <w:rPr>
          <w:lang w:val="uk-UA"/>
        </w:rPr>
        <w:t>, що вона спала гола з батьком, що вона робила йому масаж по всьому тілу, включаючи статеві органи, і що він встав</w:t>
      </w:r>
      <w:r w:rsidR="00215AF9" w:rsidRPr="00222DB2">
        <w:rPr>
          <w:lang w:val="uk-UA"/>
        </w:rPr>
        <w:t>ляв свої</w:t>
      </w:r>
      <w:r w:rsidRPr="00222DB2">
        <w:rPr>
          <w:lang w:val="uk-UA"/>
        </w:rPr>
        <w:t xml:space="preserve"> пальці в її анус і піхву, заподіявши </w:t>
      </w:r>
      <w:r w:rsidR="00215AF9" w:rsidRPr="00222DB2">
        <w:rPr>
          <w:lang w:val="uk-UA"/>
        </w:rPr>
        <w:t xml:space="preserve">заявниці </w:t>
      </w:r>
      <w:r w:rsidRPr="00222DB2">
        <w:rPr>
          <w:lang w:val="uk-UA"/>
        </w:rPr>
        <w:t>б</w:t>
      </w:r>
      <w:r w:rsidR="00215AF9" w:rsidRPr="00222DB2">
        <w:rPr>
          <w:lang w:val="uk-UA"/>
        </w:rPr>
        <w:t>олю</w:t>
      </w:r>
      <w:r w:rsidRPr="00222DB2">
        <w:rPr>
          <w:lang w:val="uk-UA"/>
        </w:rPr>
        <w:t xml:space="preserve"> (п. 6).</w:t>
      </w:r>
    </w:p>
    <w:p w14:paraId="37365380" w14:textId="07671E39" w:rsidR="001617F8" w:rsidRPr="00222DB2" w:rsidRDefault="001617F8" w:rsidP="001617F8">
      <w:pPr>
        <w:pStyle w:val="JuPara"/>
        <w:ind w:firstLine="0"/>
        <w:rPr>
          <w:lang w:val="uk-UA"/>
        </w:rPr>
      </w:pPr>
    </w:p>
    <w:p w14:paraId="2C6FA45E" w14:textId="77777777" w:rsidR="001617F8" w:rsidRPr="00222DB2" w:rsidRDefault="001617F8" w:rsidP="001617F8">
      <w:pPr>
        <w:pStyle w:val="JuPara"/>
        <w:ind w:firstLine="0"/>
        <w:rPr>
          <w:lang w:val="uk-UA"/>
        </w:rPr>
      </w:pPr>
      <w:r w:rsidRPr="00222DB2">
        <w:rPr>
          <w:lang w:val="uk-UA"/>
        </w:rPr>
        <w:t>КРИМІНАЛЬНЕ ПРОВАДЖЕННЯ</w:t>
      </w:r>
    </w:p>
    <w:p w14:paraId="1B23A145" w14:textId="77777777" w:rsidR="001617F8" w:rsidRPr="00222DB2" w:rsidRDefault="001617F8" w:rsidP="001617F8">
      <w:pPr>
        <w:pStyle w:val="JuPara"/>
        <w:ind w:firstLine="0"/>
        <w:rPr>
          <w:lang w:val="uk-UA"/>
        </w:rPr>
      </w:pPr>
    </w:p>
    <w:p w14:paraId="0A02645A" w14:textId="61997EA6" w:rsidR="001617F8" w:rsidRPr="00222DB2" w:rsidRDefault="001617F8" w:rsidP="001617F8">
      <w:pPr>
        <w:pStyle w:val="JuPara"/>
        <w:ind w:firstLine="0"/>
        <w:rPr>
          <w:lang w:val="uk-UA"/>
        </w:rPr>
      </w:pPr>
      <w:r w:rsidRPr="00222DB2">
        <w:rPr>
          <w:lang w:val="uk-UA"/>
        </w:rPr>
        <w:t>19 березня 2012 року заявниця, як</w:t>
      </w:r>
      <w:r w:rsidR="00215AF9" w:rsidRPr="00222DB2">
        <w:rPr>
          <w:lang w:val="uk-UA"/>
        </w:rPr>
        <w:t>а</w:t>
      </w:r>
      <w:r w:rsidRPr="00222DB2">
        <w:rPr>
          <w:lang w:val="uk-UA"/>
        </w:rPr>
        <w:t xml:space="preserve"> на той час бул</w:t>
      </w:r>
      <w:r w:rsidR="00215AF9" w:rsidRPr="00222DB2">
        <w:rPr>
          <w:lang w:val="uk-UA"/>
        </w:rPr>
        <w:t>а у віці</w:t>
      </w:r>
      <w:r w:rsidRPr="00222DB2">
        <w:rPr>
          <w:lang w:val="uk-UA"/>
        </w:rPr>
        <w:t xml:space="preserve"> </w:t>
      </w:r>
      <w:r w:rsidR="00215AF9" w:rsidRPr="00222DB2">
        <w:rPr>
          <w:lang w:val="uk-UA"/>
        </w:rPr>
        <w:t>4,5 роки,</w:t>
      </w:r>
      <w:r w:rsidRPr="00222DB2">
        <w:rPr>
          <w:lang w:val="uk-UA"/>
        </w:rPr>
        <w:t xml:space="preserve"> звернулася до поліції з усним повідомленням про злочин. Її заяви були записані на відео та переписані старшим слідчим </w:t>
      </w:r>
      <w:r w:rsidR="00217384" w:rsidRPr="00222DB2">
        <w:rPr>
          <w:lang w:val="uk-UA"/>
        </w:rPr>
        <w:t xml:space="preserve">(жіночої статі) </w:t>
      </w:r>
      <w:r w:rsidRPr="00222DB2">
        <w:rPr>
          <w:lang w:val="uk-UA"/>
        </w:rPr>
        <w:t xml:space="preserve">зі служби захисту дітей за присутності психолога та матері заявниці. Під час </w:t>
      </w:r>
      <w:r w:rsidR="00217384" w:rsidRPr="00222DB2">
        <w:rPr>
          <w:lang w:val="uk-UA"/>
        </w:rPr>
        <w:t>опитування</w:t>
      </w:r>
      <w:r w:rsidRPr="00222DB2">
        <w:rPr>
          <w:lang w:val="uk-UA"/>
        </w:rPr>
        <w:t xml:space="preserve"> заявниця розповіла, як вони з батьком масажували одне одного, включаючи погладжування його статевого органу, та демонструвал</w:t>
      </w:r>
      <w:r w:rsidR="004238C6" w:rsidRPr="00222DB2">
        <w:rPr>
          <w:lang w:val="uk-UA"/>
        </w:rPr>
        <w:t>а</w:t>
      </w:r>
      <w:r w:rsidRPr="00222DB2">
        <w:rPr>
          <w:lang w:val="uk-UA"/>
        </w:rPr>
        <w:t xml:space="preserve"> </w:t>
      </w:r>
      <w:r w:rsidR="004238C6" w:rsidRPr="00222DB2">
        <w:rPr>
          <w:lang w:val="uk-UA"/>
        </w:rPr>
        <w:t xml:space="preserve">на ляльці </w:t>
      </w:r>
      <w:r w:rsidRPr="00222DB2">
        <w:rPr>
          <w:lang w:val="uk-UA"/>
        </w:rPr>
        <w:t xml:space="preserve">статеву </w:t>
      </w:r>
      <w:r w:rsidR="004238C6" w:rsidRPr="00222DB2">
        <w:rPr>
          <w:lang w:val="uk-UA"/>
        </w:rPr>
        <w:t xml:space="preserve">активність </w:t>
      </w:r>
      <w:r w:rsidRPr="00222DB2">
        <w:rPr>
          <w:lang w:val="uk-UA"/>
        </w:rPr>
        <w:t xml:space="preserve">свого батька </w:t>
      </w:r>
      <w:r w:rsidR="004238C6" w:rsidRPr="00222DB2">
        <w:rPr>
          <w:lang w:val="uk-UA"/>
        </w:rPr>
        <w:t xml:space="preserve">під час їх зустрічей </w:t>
      </w:r>
      <w:r w:rsidRPr="00222DB2">
        <w:rPr>
          <w:lang w:val="uk-UA"/>
        </w:rPr>
        <w:t>(п. 7).</w:t>
      </w:r>
    </w:p>
    <w:p w14:paraId="61A17167" w14:textId="77777777" w:rsidR="001617F8" w:rsidRPr="00222DB2" w:rsidRDefault="001617F8" w:rsidP="001617F8">
      <w:pPr>
        <w:pStyle w:val="JuPara"/>
        <w:ind w:firstLine="0"/>
        <w:rPr>
          <w:lang w:val="uk-UA"/>
        </w:rPr>
      </w:pPr>
    </w:p>
    <w:p w14:paraId="18D07F01" w14:textId="5974E5A4" w:rsidR="001617F8" w:rsidRPr="00222DB2" w:rsidRDefault="001617F8" w:rsidP="001617F8">
      <w:pPr>
        <w:pStyle w:val="JuPara"/>
        <w:ind w:firstLine="0"/>
        <w:rPr>
          <w:lang w:val="uk-UA"/>
        </w:rPr>
      </w:pPr>
      <w:r w:rsidRPr="00222DB2">
        <w:rPr>
          <w:lang w:val="uk-UA"/>
        </w:rPr>
        <w:t>На підставі цього звіту було розпочато кримінальне провадження проти батька заявника. Пізніше того ж дня, 19 березня 2012 р</w:t>
      </w:r>
      <w:r w:rsidR="004238C6" w:rsidRPr="00222DB2">
        <w:rPr>
          <w:lang w:val="uk-UA"/>
        </w:rPr>
        <w:t>оку</w:t>
      </w:r>
      <w:r w:rsidRPr="00222DB2">
        <w:rPr>
          <w:lang w:val="uk-UA"/>
        </w:rPr>
        <w:t xml:space="preserve">, </w:t>
      </w:r>
      <w:r w:rsidR="004238C6" w:rsidRPr="00222DB2">
        <w:rPr>
          <w:lang w:val="uk-UA"/>
        </w:rPr>
        <w:t>с</w:t>
      </w:r>
      <w:r w:rsidRPr="00222DB2">
        <w:rPr>
          <w:lang w:val="uk-UA"/>
        </w:rPr>
        <w:t xml:space="preserve">лідчий </w:t>
      </w:r>
      <w:r w:rsidR="004238C6" w:rsidRPr="00222DB2">
        <w:rPr>
          <w:lang w:val="uk-UA"/>
        </w:rPr>
        <w:t xml:space="preserve">за </w:t>
      </w:r>
      <w:r w:rsidRPr="00222DB2">
        <w:rPr>
          <w:lang w:val="uk-UA"/>
        </w:rPr>
        <w:t>присутності того ж психолога та матері заявни</w:t>
      </w:r>
      <w:r w:rsidR="004238C6" w:rsidRPr="00222DB2">
        <w:rPr>
          <w:lang w:val="uk-UA"/>
        </w:rPr>
        <w:t>ці</w:t>
      </w:r>
      <w:r w:rsidRPr="00222DB2">
        <w:rPr>
          <w:lang w:val="uk-UA"/>
        </w:rPr>
        <w:t xml:space="preserve"> допитав </w:t>
      </w:r>
      <w:r w:rsidR="004238C6" w:rsidRPr="00222DB2">
        <w:rPr>
          <w:lang w:val="uk-UA"/>
        </w:rPr>
        <w:t>заявницю</w:t>
      </w:r>
      <w:r w:rsidRPr="00222DB2">
        <w:rPr>
          <w:lang w:val="uk-UA"/>
        </w:rPr>
        <w:t xml:space="preserve"> як </w:t>
      </w:r>
      <w:r w:rsidR="00217384" w:rsidRPr="00222DB2">
        <w:rPr>
          <w:lang w:val="uk-UA"/>
        </w:rPr>
        <w:t>потерпілу</w:t>
      </w:r>
      <w:r w:rsidRPr="00222DB2">
        <w:rPr>
          <w:lang w:val="uk-UA"/>
        </w:rPr>
        <w:t xml:space="preserve">. </w:t>
      </w:r>
      <w:r w:rsidR="004238C6" w:rsidRPr="00222DB2">
        <w:rPr>
          <w:lang w:val="uk-UA"/>
        </w:rPr>
        <w:t>Допит</w:t>
      </w:r>
      <w:r w:rsidRPr="00222DB2">
        <w:rPr>
          <w:lang w:val="uk-UA"/>
        </w:rPr>
        <w:t xml:space="preserve"> також було записано на відео (п. 8).</w:t>
      </w:r>
    </w:p>
    <w:p w14:paraId="0577757E" w14:textId="77777777" w:rsidR="001617F8" w:rsidRPr="00222DB2" w:rsidRDefault="001617F8" w:rsidP="001617F8">
      <w:pPr>
        <w:pStyle w:val="JuPara"/>
        <w:ind w:firstLine="0"/>
        <w:rPr>
          <w:lang w:val="uk-UA"/>
        </w:rPr>
      </w:pPr>
    </w:p>
    <w:p w14:paraId="3648A1CE" w14:textId="13B6912B" w:rsidR="001617F8" w:rsidRPr="00222DB2" w:rsidRDefault="001617F8" w:rsidP="001617F8">
      <w:pPr>
        <w:pStyle w:val="JuPara"/>
        <w:ind w:firstLine="0"/>
        <w:rPr>
          <w:lang w:val="uk-UA"/>
        </w:rPr>
      </w:pPr>
      <w:r w:rsidRPr="00222DB2">
        <w:rPr>
          <w:lang w:val="uk-UA"/>
        </w:rPr>
        <w:t xml:space="preserve">3 квітня 2012 року слідчий </w:t>
      </w:r>
      <w:r w:rsidR="00217384" w:rsidRPr="00222DB2">
        <w:rPr>
          <w:lang w:val="uk-UA"/>
        </w:rPr>
        <w:t>призначив</w:t>
      </w:r>
      <w:r w:rsidRPr="00222DB2">
        <w:rPr>
          <w:lang w:val="uk-UA"/>
        </w:rPr>
        <w:t xml:space="preserve"> всебічну психіатричну та психологічну </w:t>
      </w:r>
      <w:r w:rsidR="00217384" w:rsidRPr="00222DB2">
        <w:rPr>
          <w:lang w:val="uk-UA"/>
        </w:rPr>
        <w:t xml:space="preserve">експертну </w:t>
      </w:r>
      <w:r w:rsidRPr="00222DB2">
        <w:rPr>
          <w:lang w:val="uk-UA"/>
        </w:rPr>
        <w:t xml:space="preserve">оцінку заявниці, яка проводилась з 9 по 26 квітня 2012 року. Згідно з експертним висновком від 3 травня 2012 року, заявниця страждала від тривоги при розлуці, але її психологічний розвиток відповідав її віку, і у неї не було підвищеної схильності до фантазування. Однак вона була занадто молода, щоб відвідувати судові засідання та давати там </w:t>
      </w:r>
      <w:r w:rsidR="004238C6" w:rsidRPr="00222DB2">
        <w:rPr>
          <w:lang w:val="uk-UA"/>
        </w:rPr>
        <w:t>свідчення</w:t>
      </w:r>
      <w:r w:rsidRPr="00222DB2">
        <w:rPr>
          <w:lang w:val="uk-UA"/>
        </w:rPr>
        <w:t xml:space="preserve"> (п. 9).</w:t>
      </w:r>
    </w:p>
    <w:p w14:paraId="1E231599" w14:textId="322DA6D9" w:rsidR="001617F8" w:rsidRPr="00222DB2" w:rsidRDefault="001617F8" w:rsidP="001617F8">
      <w:pPr>
        <w:pStyle w:val="JuPara"/>
        <w:ind w:firstLine="0"/>
        <w:rPr>
          <w:bCs/>
          <w:lang w:val="uk-UA"/>
        </w:rPr>
      </w:pPr>
    </w:p>
    <w:p w14:paraId="0F5C2917" w14:textId="54A4C66B" w:rsidR="004238C6" w:rsidRPr="00222DB2" w:rsidRDefault="004238C6" w:rsidP="004238C6">
      <w:pPr>
        <w:pStyle w:val="JuPara"/>
        <w:ind w:firstLine="0"/>
        <w:rPr>
          <w:bCs/>
          <w:lang w:val="uk-UA"/>
        </w:rPr>
      </w:pPr>
      <w:r w:rsidRPr="00222DB2">
        <w:rPr>
          <w:bCs/>
          <w:lang w:val="uk-UA"/>
        </w:rPr>
        <w:t>16 травня 2012 року відбулося черговий відеозапис допиту заявниці за присутності її матері (п. 10).</w:t>
      </w:r>
    </w:p>
    <w:p w14:paraId="4BBF6F5D" w14:textId="77777777" w:rsidR="004238C6" w:rsidRPr="00222DB2" w:rsidRDefault="004238C6" w:rsidP="004238C6">
      <w:pPr>
        <w:pStyle w:val="JuPara"/>
        <w:ind w:firstLine="0"/>
        <w:rPr>
          <w:bCs/>
          <w:lang w:val="uk-UA"/>
        </w:rPr>
      </w:pPr>
    </w:p>
    <w:p w14:paraId="5DA11C83" w14:textId="201C959B" w:rsidR="004238C6" w:rsidRPr="00222DB2" w:rsidRDefault="004238C6" w:rsidP="004238C6">
      <w:pPr>
        <w:pStyle w:val="JuPara"/>
        <w:ind w:firstLine="0"/>
        <w:rPr>
          <w:bCs/>
          <w:lang w:val="uk-UA"/>
        </w:rPr>
      </w:pPr>
      <w:r w:rsidRPr="00222DB2">
        <w:rPr>
          <w:bCs/>
          <w:lang w:val="uk-UA"/>
        </w:rPr>
        <w:t>20 червня 2012 року батька заявниці допитали як підозрюваного (п. 11).</w:t>
      </w:r>
    </w:p>
    <w:p w14:paraId="67C435A7" w14:textId="77777777" w:rsidR="004238C6" w:rsidRPr="00222DB2" w:rsidRDefault="004238C6" w:rsidP="004238C6">
      <w:pPr>
        <w:pStyle w:val="JuPara"/>
        <w:ind w:firstLine="0"/>
        <w:rPr>
          <w:bCs/>
          <w:lang w:val="uk-UA"/>
        </w:rPr>
      </w:pPr>
    </w:p>
    <w:p w14:paraId="08CFC089" w14:textId="34D900CB" w:rsidR="004238C6" w:rsidRPr="00222DB2" w:rsidRDefault="004238C6" w:rsidP="004238C6">
      <w:pPr>
        <w:pStyle w:val="JuPara"/>
        <w:ind w:firstLine="0"/>
        <w:rPr>
          <w:bCs/>
          <w:lang w:val="uk-UA"/>
        </w:rPr>
      </w:pPr>
      <w:r w:rsidRPr="00222DB2">
        <w:rPr>
          <w:bCs/>
          <w:lang w:val="uk-UA"/>
        </w:rPr>
        <w:t>29 червня 2012 року експерт провела фізичний огляд заявниці та не виявила тілесних ушкоджень її особи, у тому числі в області прямої кишки або геніталій (п. 12).</w:t>
      </w:r>
    </w:p>
    <w:p w14:paraId="4933D70B" w14:textId="77777777" w:rsidR="004238C6" w:rsidRPr="00222DB2" w:rsidRDefault="004238C6" w:rsidP="004238C6">
      <w:pPr>
        <w:pStyle w:val="JuPara"/>
        <w:ind w:firstLine="0"/>
        <w:rPr>
          <w:bCs/>
          <w:lang w:val="uk-UA"/>
        </w:rPr>
      </w:pPr>
    </w:p>
    <w:p w14:paraId="2519ED50" w14:textId="455C80EF" w:rsidR="004238C6" w:rsidRPr="00222DB2" w:rsidRDefault="004238C6" w:rsidP="004238C6">
      <w:pPr>
        <w:pStyle w:val="JuPara"/>
        <w:ind w:firstLine="0"/>
        <w:rPr>
          <w:bCs/>
          <w:lang w:val="uk-UA"/>
        </w:rPr>
      </w:pPr>
      <w:r w:rsidRPr="00222DB2">
        <w:rPr>
          <w:bCs/>
          <w:lang w:val="uk-UA"/>
        </w:rPr>
        <w:t xml:space="preserve">27 серпня 2012 року відеозаписи допитів заявниці було надано підозрюваному за присутності його захисника. Їм було пояснено, що вони можуть подати </w:t>
      </w:r>
      <w:r w:rsidR="009B1655" w:rsidRPr="00222DB2">
        <w:rPr>
          <w:bCs/>
          <w:lang w:val="uk-UA"/>
        </w:rPr>
        <w:t>заявниці</w:t>
      </w:r>
      <w:r w:rsidRPr="00222DB2">
        <w:rPr>
          <w:bCs/>
          <w:lang w:val="uk-UA"/>
        </w:rPr>
        <w:t xml:space="preserve"> будь-які запитання у письмовій формі (п. 13).</w:t>
      </w:r>
    </w:p>
    <w:p w14:paraId="796D83CF" w14:textId="77777777" w:rsidR="004238C6" w:rsidRPr="00222DB2" w:rsidRDefault="004238C6" w:rsidP="004238C6">
      <w:pPr>
        <w:pStyle w:val="JuPara"/>
        <w:ind w:firstLine="0"/>
        <w:rPr>
          <w:bCs/>
          <w:lang w:val="uk-UA"/>
        </w:rPr>
      </w:pPr>
    </w:p>
    <w:p w14:paraId="6EB1C99C" w14:textId="2348F49B" w:rsidR="004238C6" w:rsidRPr="00222DB2" w:rsidRDefault="004238C6" w:rsidP="004238C6">
      <w:pPr>
        <w:pStyle w:val="JuPara"/>
        <w:ind w:firstLine="0"/>
        <w:rPr>
          <w:bCs/>
          <w:lang w:val="uk-UA"/>
        </w:rPr>
      </w:pPr>
      <w:r w:rsidRPr="00222DB2">
        <w:rPr>
          <w:bCs/>
          <w:lang w:val="uk-UA"/>
        </w:rPr>
        <w:t>3 вересня 2012 року відбулося друге опитування підозрюваного (п. 14).</w:t>
      </w:r>
    </w:p>
    <w:p w14:paraId="40DCB3A7" w14:textId="77777777" w:rsidR="004238C6" w:rsidRPr="00222DB2" w:rsidRDefault="004238C6" w:rsidP="004238C6">
      <w:pPr>
        <w:pStyle w:val="JuPara"/>
        <w:ind w:firstLine="0"/>
        <w:rPr>
          <w:bCs/>
          <w:lang w:val="uk-UA"/>
        </w:rPr>
      </w:pPr>
    </w:p>
    <w:p w14:paraId="1C6699DE" w14:textId="693DDE0E" w:rsidR="004238C6" w:rsidRPr="00222DB2" w:rsidRDefault="004238C6" w:rsidP="004238C6">
      <w:pPr>
        <w:pStyle w:val="JuPara"/>
        <w:ind w:firstLine="0"/>
        <w:rPr>
          <w:bCs/>
          <w:lang w:val="uk-UA"/>
        </w:rPr>
      </w:pPr>
      <w:r w:rsidRPr="00222DB2">
        <w:rPr>
          <w:bCs/>
          <w:lang w:val="uk-UA"/>
        </w:rPr>
        <w:t>18 лютого 2013 року за результатами психіатричної експертизи підозрюваного експерти не знайшли підстав для встановлення будь-якого статевого розладу та дійшли висновку, що він психічно здоровий (п. 15).</w:t>
      </w:r>
    </w:p>
    <w:p w14:paraId="5845F918" w14:textId="1CA4885D" w:rsidR="004238C6" w:rsidRPr="00222DB2" w:rsidRDefault="004238C6" w:rsidP="004238C6">
      <w:pPr>
        <w:pStyle w:val="JuPara"/>
        <w:ind w:firstLine="0"/>
        <w:rPr>
          <w:lang w:val="uk-UA"/>
        </w:rPr>
      </w:pPr>
    </w:p>
    <w:p w14:paraId="0F797746" w14:textId="0AFB63AE" w:rsidR="004238C6" w:rsidRPr="00222DB2" w:rsidRDefault="004238C6" w:rsidP="004238C6">
      <w:pPr>
        <w:pStyle w:val="JuPara"/>
        <w:ind w:firstLine="0"/>
        <w:rPr>
          <w:lang w:val="uk-UA"/>
        </w:rPr>
      </w:pPr>
      <w:r w:rsidRPr="00222DB2">
        <w:rPr>
          <w:lang w:val="uk-UA"/>
        </w:rPr>
        <w:lastRenderedPageBreak/>
        <w:t>27 червня 2013 року прокурор склав обвинувальний акт та передав його до окружного суду. Згідно із сформульованим обвинуваченням, у період з 2009 по березень 2012 року батько заявниці неодноразово вступав у статеві стосунки зі своєю донькою, користуючись неможливістю дитини зрозуміти, вставляючи палець у піхву та анальний отвір дитини. Крім того, наказавши дочці погладити його статевий орган, він вчинив дії сексуального характеру з дитиною. Ці дії були кваліфіковані відповідно до положень ст. 141 (зґвалтування) та ст.</w:t>
      </w:r>
      <w:r w:rsidR="00217384" w:rsidRPr="00222DB2">
        <w:rPr>
          <w:lang w:val="uk-UA"/>
        </w:rPr>
        <w:t xml:space="preserve"> </w:t>
      </w:r>
      <w:r w:rsidRPr="00222DB2">
        <w:rPr>
          <w:lang w:val="uk-UA"/>
        </w:rPr>
        <w:t xml:space="preserve">142 (залучення неповнолітньої особи до задоволення </w:t>
      </w:r>
      <w:r w:rsidR="00217384" w:rsidRPr="00222DB2">
        <w:rPr>
          <w:lang w:val="uk-UA"/>
        </w:rPr>
        <w:t>статевої пристрасті</w:t>
      </w:r>
      <w:r w:rsidRPr="00222DB2">
        <w:rPr>
          <w:lang w:val="uk-UA"/>
        </w:rPr>
        <w:t>) КК, що застосовувал</w:t>
      </w:r>
      <w:r w:rsidR="00217384" w:rsidRPr="00222DB2">
        <w:rPr>
          <w:lang w:val="uk-UA"/>
        </w:rPr>
        <w:t>и</w:t>
      </w:r>
      <w:r w:rsidRPr="00222DB2">
        <w:rPr>
          <w:lang w:val="uk-UA"/>
        </w:rPr>
        <w:t>ся на той час (п. 16).</w:t>
      </w:r>
    </w:p>
    <w:p w14:paraId="36ED5727" w14:textId="77777777" w:rsidR="004238C6" w:rsidRPr="00222DB2" w:rsidRDefault="004238C6" w:rsidP="004238C6">
      <w:pPr>
        <w:pStyle w:val="JuPara"/>
        <w:ind w:firstLine="0"/>
        <w:rPr>
          <w:lang w:val="uk-UA"/>
        </w:rPr>
      </w:pPr>
    </w:p>
    <w:p w14:paraId="3908E992" w14:textId="63A82DC8" w:rsidR="004238C6" w:rsidRPr="00222DB2" w:rsidRDefault="004238C6" w:rsidP="004238C6">
      <w:pPr>
        <w:pStyle w:val="JuPara"/>
        <w:ind w:firstLine="0"/>
        <w:rPr>
          <w:lang w:val="uk-UA"/>
        </w:rPr>
      </w:pPr>
      <w:r w:rsidRPr="00222DB2">
        <w:rPr>
          <w:lang w:val="uk-UA"/>
        </w:rPr>
        <w:t>Районний суд провів попереднє слухання у жовтні 2013 р</w:t>
      </w:r>
      <w:r w:rsidR="009B1655" w:rsidRPr="00222DB2">
        <w:rPr>
          <w:lang w:val="uk-UA"/>
        </w:rPr>
        <w:t>оку</w:t>
      </w:r>
      <w:r w:rsidRPr="00222DB2">
        <w:rPr>
          <w:lang w:val="uk-UA"/>
        </w:rPr>
        <w:t>. Подальші засідання у закритому режимі відбулися у лютому, квітні та жовтні 2014 р</w:t>
      </w:r>
      <w:r w:rsidR="009B1655" w:rsidRPr="00222DB2">
        <w:rPr>
          <w:lang w:val="uk-UA"/>
        </w:rPr>
        <w:t>оку</w:t>
      </w:r>
      <w:r w:rsidRPr="00222DB2">
        <w:rPr>
          <w:lang w:val="uk-UA"/>
        </w:rPr>
        <w:t xml:space="preserve">. Заяви потерпілої, надані під час розслідування, були оприлюднені, і суд заслухав кількох свідків, включаючи </w:t>
      </w:r>
      <w:r w:rsidR="009B1655" w:rsidRPr="00222DB2">
        <w:rPr>
          <w:lang w:val="uk-UA"/>
        </w:rPr>
        <w:t>свідків</w:t>
      </w:r>
      <w:r w:rsidRPr="00222DB2">
        <w:rPr>
          <w:lang w:val="uk-UA"/>
        </w:rPr>
        <w:t xml:space="preserve"> захисту, а також експертів, які готували </w:t>
      </w:r>
      <w:r w:rsidR="009B1655" w:rsidRPr="00222DB2">
        <w:rPr>
          <w:lang w:val="uk-UA"/>
        </w:rPr>
        <w:t>експертні висновки</w:t>
      </w:r>
      <w:r w:rsidRPr="00222DB2">
        <w:rPr>
          <w:lang w:val="uk-UA"/>
        </w:rPr>
        <w:t xml:space="preserve"> (п. 17).</w:t>
      </w:r>
    </w:p>
    <w:p w14:paraId="45F1445F" w14:textId="53D8CDDF" w:rsidR="009B1655" w:rsidRPr="00222DB2" w:rsidRDefault="009B1655" w:rsidP="004238C6">
      <w:pPr>
        <w:pStyle w:val="JuPara"/>
        <w:ind w:firstLine="0"/>
        <w:rPr>
          <w:lang w:val="uk-UA"/>
        </w:rPr>
      </w:pPr>
    </w:p>
    <w:p w14:paraId="7C6ADBA5" w14:textId="27B5CCDE" w:rsidR="009B1655" w:rsidRPr="00222DB2" w:rsidRDefault="009B1655" w:rsidP="009B1655">
      <w:pPr>
        <w:pStyle w:val="JuPara"/>
        <w:ind w:firstLine="0"/>
        <w:rPr>
          <w:lang w:val="uk-UA"/>
        </w:rPr>
      </w:pPr>
      <w:r w:rsidRPr="00222DB2">
        <w:rPr>
          <w:lang w:val="uk-UA"/>
        </w:rPr>
        <w:t xml:space="preserve">Обвинувачений свою провину не визнав. Він стверджував, серед іншого, що свідчення його дочки були ненадійними та суперечливими. На її відповіді під час опитувань у поліції вплинула присутність її матері, яка втрутилася і спокусила дитину різними обіцянками. </w:t>
      </w:r>
      <w:r w:rsidR="00217384" w:rsidRPr="00222DB2">
        <w:rPr>
          <w:lang w:val="uk-UA"/>
        </w:rPr>
        <w:t>Допити</w:t>
      </w:r>
      <w:r w:rsidRPr="00222DB2">
        <w:rPr>
          <w:lang w:val="uk-UA"/>
        </w:rPr>
        <w:t xml:space="preserve">, що тривали понад годину, були занадто довгими для маленької дитини, що призвело до втоми та бажання догодити </w:t>
      </w:r>
      <w:r w:rsidR="005A1B77" w:rsidRPr="00222DB2">
        <w:rPr>
          <w:lang w:val="uk-UA"/>
        </w:rPr>
        <w:t>слідчим</w:t>
      </w:r>
      <w:r w:rsidRPr="00222DB2">
        <w:rPr>
          <w:lang w:val="uk-UA"/>
        </w:rPr>
        <w:t>, які використовували навідні запитання. Кримінальне провадження було інструментом, яким її мати обмежувала його доступ до дитини (п. 18).</w:t>
      </w:r>
    </w:p>
    <w:p w14:paraId="43D907CC" w14:textId="77777777" w:rsidR="009B1655" w:rsidRPr="00222DB2" w:rsidRDefault="009B1655" w:rsidP="009B1655">
      <w:pPr>
        <w:pStyle w:val="JuPara"/>
        <w:ind w:firstLine="0"/>
        <w:rPr>
          <w:lang w:val="uk-UA"/>
        </w:rPr>
      </w:pPr>
    </w:p>
    <w:p w14:paraId="3F5ECA4A" w14:textId="797EA66C" w:rsidR="009B1655" w:rsidRPr="00222DB2" w:rsidRDefault="009B1655" w:rsidP="009B1655">
      <w:pPr>
        <w:pStyle w:val="JuPara"/>
        <w:ind w:firstLine="0"/>
        <w:rPr>
          <w:lang w:val="uk-UA"/>
        </w:rPr>
      </w:pPr>
      <w:r w:rsidRPr="00222DB2">
        <w:rPr>
          <w:lang w:val="uk-UA"/>
        </w:rPr>
        <w:t xml:space="preserve">Рішенням від 4 листопада 2014 року </w:t>
      </w:r>
      <w:r w:rsidR="00217384" w:rsidRPr="00222DB2">
        <w:rPr>
          <w:lang w:val="uk-UA"/>
        </w:rPr>
        <w:t>районний</w:t>
      </w:r>
      <w:r w:rsidRPr="00222DB2">
        <w:rPr>
          <w:lang w:val="uk-UA"/>
        </w:rPr>
        <w:t xml:space="preserve"> суд засудив батька заявника за </w:t>
      </w:r>
      <w:r w:rsidR="00217384" w:rsidRPr="00222DB2">
        <w:rPr>
          <w:lang w:val="uk-UA"/>
        </w:rPr>
        <w:t>відповідним обвинувальним актом</w:t>
      </w:r>
      <w:r w:rsidRPr="00222DB2">
        <w:rPr>
          <w:lang w:val="uk-UA"/>
        </w:rPr>
        <w:t xml:space="preserve"> та засудив його до позбавлення волі строком на 6 років. </w:t>
      </w:r>
      <w:r w:rsidR="00217384" w:rsidRPr="00222DB2">
        <w:rPr>
          <w:lang w:val="uk-UA"/>
        </w:rPr>
        <w:t>Районний суд</w:t>
      </w:r>
      <w:r w:rsidRPr="00222DB2">
        <w:rPr>
          <w:lang w:val="uk-UA"/>
        </w:rPr>
        <w:t xml:space="preserve"> встановив, що свідчення заявниці підтверджуються заявами її матері, показаннями свідків та висновками експертів. Переглянувши відеозаписи допиту заявниці, суд не виявив неправомірного впливу чи тиску з боку матері заявниці чи слідчого. Суд вважав, що заявниця розповіла реальні події та виявив, що немає жодних ознак того, що з нею маніпулювали, або що вона була схильна до фантазій. Той факт, що на її тілі не було виявлено жодних ушкоджень, не виправдовував обвинувачуваного, оскільки її фізичний огляд відбувся задовго після подій, і дотик до статевих органів обвинуваченого не залишив би слідів. Також</w:t>
      </w:r>
      <w:r w:rsidR="00217384" w:rsidRPr="00222DB2">
        <w:rPr>
          <w:lang w:val="uk-UA"/>
        </w:rPr>
        <w:t>, на думку суду,</w:t>
      </w:r>
      <w:r w:rsidRPr="00222DB2">
        <w:rPr>
          <w:lang w:val="uk-UA"/>
        </w:rPr>
        <w:t xml:space="preserve"> не мало значення, що у обвинуваченого не було діагностовано жодного статевого розладу (п. 19).</w:t>
      </w:r>
    </w:p>
    <w:p w14:paraId="4D11493D" w14:textId="2B3383AD" w:rsidR="009B1655" w:rsidRPr="00222DB2" w:rsidRDefault="009B1655" w:rsidP="009B1655">
      <w:pPr>
        <w:pStyle w:val="JuPara"/>
        <w:ind w:firstLine="0"/>
        <w:rPr>
          <w:lang w:val="uk-UA"/>
        </w:rPr>
      </w:pPr>
    </w:p>
    <w:p w14:paraId="4579BDDA" w14:textId="24FA5190" w:rsidR="009B1655" w:rsidRPr="00222DB2" w:rsidRDefault="009B1655" w:rsidP="009B1655">
      <w:pPr>
        <w:pStyle w:val="JuPara"/>
        <w:ind w:firstLine="0"/>
        <w:rPr>
          <w:lang w:val="uk-UA"/>
        </w:rPr>
      </w:pPr>
      <w:r w:rsidRPr="00222DB2">
        <w:rPr>
          <w:lang w:val="uk-UA"/>
        </w:rPr>
        <w:t xml:space="preserve">12 грудня 2014 року обвинувачений подав апеляційну скаргу на рішення районного суду. Він стверджував, серед іншого, що його засудження по суті ґрунтувалося на недостовірних свідченнях дитини у віці 4,5 років, і повторив аргументи, які він висловив перед судом першої інстанції щодо проведення </w:t>
      </w:r>
      <w:r w:rsidR="00217384" w:rsidRPr="00222DB2">
        <w:rPr>
          <w:lang w:val="uk-UA"/>
        </w:rPr>
        <w:t>допитів</w:t>
      </w:r>
      <w:r w:rsidRPr="00222DB2">
        <w:rPr>
          <w:lang w:val="uk-UA"/>
        </w:rPr>
        <w:t xml:space="preserve"> </w:t>
      </w:r>
      <w:r w:rsidRPr="00222DB2">
        <w:rPr>
          <w:i/>
          <w:iCs/>
          <w:lang w:val="uk-UA"/>
        </w:rPr>
        <w:t>(п. 18)</w:t>
      </w:r>
      <w:r w:rsidRPr="00222DB2">
        <w:rPr>
          <w:lang w:val="uk-UA"/>
        </w:rPr>
        <w:t xml:space="preserve"> (п. 20).</w:t>
      </w:r>
    </w:p>
    <w:p w14:paraId="3330ED9D" w14:textId="77777777" w:rsidR="009B1655" w:rsidRPr="00222DB2" w:rsidRDefault="009B1655" w:rsidP="009B1655">
      <w:pPr>
        <w:pStyle w:val="JuPara"/>
        <w:ind w:firstLine="0"/>
        <w:rPr>
          <w:lang w:val="uk-UA"/>
        </w:rPr>
      </w:pPr>
    </w:p>
    <w:p w14:paraId="724F4781" w14:textId="7D0A2DE1" w:rsidR="009B1655" w:rsidRPr="00222DB2" w:rsidRDefault="009B1655" w:rsidP="009B1655">
      <w:pPr>
        <w:pStyle w:val="JuPara"/>
        <w:ind w:firstLine="0"/>
        <w:rPr>
          <w:lang w:val="uk-UA"/>
        </w:rPr>
      </w:pPr>
      <w:r w:rsidRPr="00222DB2">
        <w:rPr>
          <w:lang w:val="uk-UA"/>
        </w:rPr>
        <w:t xml:space="preserve">18 березня 2015 року </w:t>
      </w:r>
      <w:r w:rsidR="00217384" w:rsidRPr="00222DB2">
        <w:rPr>
          <w:lang w:val="uk-UA"/>
        </w:rPr>
        <w:t>а</w:t>
      </w:r>
      <w:r w:rsidRPr="00222DB2">
        <w:rPr>
          <w:lang w:val="uk-UA"/>
        </w:rPr>
        <w:t xml:space="preserve">пеляційний суд у складі трьох суддів відхилив апеляційну скаргу та залишив без змін рішення районного суду. Хоча </w:t>
      </w:r>
      <w:r w:rsidR="00217384" w:rsidRPr="00222DB2">
        <w:rPr>
          <w:lang w:val="uk-UA"/>
        </w:rPr>
        <w:t xml:space="preserve">апеляційний суд </w:t>
      </w:r>
      <w:r w:rsidRPr="00222DB2">
        <w:rPr>
          <w:lang w:val="uk-UA"/>
        </w:rPr>
        <w:t xml:space="preserve">і визнав, що довіра до свідчень заявниці займає центральне місце у справі, під час перегляду відповідних відеозаписів суд не виявив жодних ознак неналежного впливу на дитину-жертву. Суд зазначив, що використання навідних запитань дозволено КПК у ситуації, коли вік свідка ускладнював для нього чи </w:t>
      </w:r>
      <w:r w:rsidR="00217384" w:rsidRPr="00222DB2">
        <w:rPr>
          <w:lang w:val="uk-UA"/>
        </w:rPr>
        <w:t>неї</w:t>
      </w:r>
      <w:r w:rsidRPr="00222DB2">
        <w:rPr>
          <w:lang w:val="uk-UA"/>
        </w:rPr>
        <w:t xml:space="preserve"> розуміння </w:t>
      </w:r>
      <w:r w:rsidR="00217384" w:rsidRPr="00222DB2">
        <w:rPr>
          <w:lang w:val="uk-UA"/>
        </w:rPr>
        <w:t>відкритих</w:t>
      </w:r>
      <w:r w:rsidRPr="00222DB2">
        <w:rPr>
          <w:lang w:val="uk-UA"/>
        </w:rPr>
        <w:t xml:space="preserve"> питань. Також було встановлено, що присутність матері заявни</w:t>
      </w:r>
      <w:r w:rsidR="00217384" w:rsidRPr="00222DB2">
        <w:rPr>
          <w:lang w:val="uk-UA"/>
        </w:rPr>
        <w:t>ці</w:t>
      </w:r>
      <w:r w:rsidRPr="00222DB2">
        <w:rPr>
          <w:lang w:val="uk-UA"/>
        </w:rPr>
        <w:t xml:space="preserve"> під час опитування відповідала вимогам КПК. </w:t>
      </w:r>
      <w:r w:rsidR="00804E48" w:rsidRPr="00222DB2">
        <w:rPr>
          <w:lang w:val="uk-UA"/>
        </w:rPr>
        <w:t>Апеляційний с</w:t>
      </w:r>
      <w:r w:rsidRPr="00222DB2">
        <w:rPr>
          <w:lang w:val="uk-UA"/>
        </w:rPr>
        <w:t>уд послався на ст. 20 Директиви ЄС 2011/92/ЄС, яка вимагала від держав-член</w:t>
      </w:r>
      <w:r w:rsidR="00804E48" w:rsidRPr="00222DB2">
        <w:rPr>
          <w:lang w:val="uk-UA"/>
        </w:rPr>
        <w:t>ів</w:t>
      </w:r>
      <w:r w:rsidRPr="00222DB2">
        <w:rPr>
          <w:lang w:val="uk-UA"/>
        </w:rPr>
        <w:t xml:space="preserve"> забезпечити ефективний захист прав дітей у кримінальних провадженнях, включаючи можливість супроводження дитини-жертви її представником під час надання свідчень (п. 21).</w:t>
      </w:r>
    </w:p>
    <w:p w14:paraId="2331B12F" w14:textId="446717D7" w:rsidR="009B1655" w:rsidRPr="00222DB2" w:rsidRDefault="009B1655" w:rsidP="009B1655">
      <w:pPr>
        <w:pStyle w:val="JuPara"/>
        <w:ind w:firstLine="0"/>
        <w:rPr>
          <w:lang w:val="uk-UA"/>
        </w:rPr>
      </w:pPr>
    </w:p>
    <w:p w14:paraId="1A6C8726" w14:textId="6CCB4989" w:rsidR="009B1655" w:rsidRPr="00222DB2" w:rsidRDefault="009B1655" w:rsidP="009B1655">
      <w:pPr>
        <w:pStyle w:val="JuPara"/>
        <w:ind w:firstLine="0"/>
        <w:rPr>
          <w:lang w:val="uk-UA"/>
        </w:rPr>
      </w:pPr>
      <w:r w:rsidRPr="00222DB2">
        <w:rPr>
          <w:lang w:val="uk-UA"/>
        </w:rPr>
        <w:t xml:space="preserve">Один суддя </w:t>
      </w:r>
      <w:r w:rsidR="00804E48" w:rsidRPr="00222DB2">
        <w:rPr>
          <w:lang w:val="uk-UA"/>
        </w:rPr>
        <w:t>а</w:t>
      </w:r>
      <w:r w:rsidRPr="00222DB2">
        <w:rPr>
          <w:lang w:val="uk-UA"/>
        </w:rPr>
        <w:t xml:space="preserve">пеляційного суду висловив свою незгоду, виявивши проблеми як з достовірністю свідчень потерпілої, так і з тим, як вони були </w:t>
      </w:r>
      <w:r w:rsidR="00804E48" w:rsidRPr="00222DB2">
        <w:rPr>
          <w:lang w:val="uk-UA"/>
        </w:rPr>
        <w:t>отримані</w:t>
      </w:r>
      <w:r w:rsidRPr="00222DB2">
        <w:rPr>
          <w:lang w:val="uk-UA"/>
        </w:rPr>
        <w:t>. Зокрема, він вважав, що свідчення дитини-жертви були отримані з порушенням двох істотних вимог кримінального процесу. По-перше, дитина не була поінформована про свій обов’язок говорити правду, щоб вона могла зрозуміти наслідки її свідчень для її батька. По-друге, дитин</w:t>
      </w:r>
      <w:r w:rsidR="00804E48" w:rsidRPr="00222DB2">
        <w:rPr>
          <w:lang w:val="uk-UA"/>
        </w:rPr>
        <w:t xml:space="preserve">і не роз’яснювали </w:t>
      </w:r>
      <w:r w:rsidRPr="00222DB2">
        <w:rPr>
          <w:lang w:val="uk-UA"/>
        </w:rPr>
        <w:t>її право не давати показань проти своїх рідних. Ці дві вимоги були чітко викладені в законодавстві та застосовувались також до неповнолітніх, яких слід повідомляти про це відповідно до їх віку. На практиці це було зроблено в інших кримінальних справах (п. 22).</w:t>
      </w:r>
    </w:p>
    <w:p w14:paraId="22A67C26" w14:textId="77777777" w:rsidR="009B1655" w:rsidRPr="00222DB2" w:rsidRDefault="009B1655" w:rsidP="009B1655">
      <w:pPr>
        <w:pStyle w:val="JuPara"/>
        <w:ind w:firstLine="0"/>
        <w:rPr>
          <w:lang w:val="uk-UA"/>
        </w:rPr>
      </w:pPr>
    </w:p>
    <w:p w14:paraId="6B50FE9B" w14:textId="42B43C8D" w:rsidR="009B1655" w:rsidRPr="00222DB2" w:rsidRDefault="009B1655" w:rsidP="009B1655">
      <w:pPr>
        <w:pStyle w:val="JuPara"/>
        <w:ind w:firstLine="0"/>
        <w:rPr>
          <w:lang w:val="uk-UA"/>
        </w:rPr>
      </w:pPr>
      <w:r w:rsidRPr="00222DB2">
        <w:rPr>
          <w:lang w:val="uk-UA"/>
        </w:rPr>
        <w:t>17 квітня 2015 року обвинувачений подав касаційну скаргу, наголошуючи на невідповідності та недостовірності доказів та стверджуючи, що було декілька порушень кримінально-процесуальних процедур, у тому числі зазначених окремим суддею апеляційного суду (п. 23).</w:t>
      </w:r>
    </w:p>
    <w:p w14:paraId="25F336B1" w14:textId="7E85E7CF" w:rsidR="009B1655" w:rsidRPr="00222DB2" w:rsidRDefault="009B1655" w:rsidP="009B1655">
      <w:pPr>
        <w:pStyle w:val="JuPara"/>
        <w:ind w:firstLine="0"/>
        <w:rPr>
          <w:lang w:val="uk-UA"/>
        </w:rPr>
      </w:pPr>
    </w:p>
    <w:p w14:paraId="721AE349" w14:textId="515D0F1C" w:rsidR="009B1655" w:rsidRPr="00222DB2" w:rsidRDefault="009B1655" w:rsidP="009B1655">
      <w:pPr>
        <w:pStyle w:val="JuPara"/>
        <w:ind w:firstLine="0"/>
        <w:rPr>
          <w:lang w:val="uk-UA"/>
        </w:rPr>
      </w:pPr>
      <w:r w:rsidRPr="00222DB2">
        <w:rPr>
          <w:lang w:val="uk-UA"/>
        </w:rPr>
        <w:t xml:space="preserve">23 жовтня 2015 року Верховний </w:t>
      </w:r>
      <w:r w:rsidR="0041495E" w:rsidRPr="00222DB2">
        <w:rPr>
          <w:lang w:val="uk-UA"/>
        </w:rPr>
        <w:t>С</w:t>
      </w:r>
      <w:r w:rsidRPr="00222DB2">
        <w:rPr>
          <w:lang w:val="uk-UA"/>
        </w:rPr>
        <w:t xml:space="preserve">уд скасував рішення </w:t>
      </w:r>
      <w:r w:rsidR="00804E48" w:rsidRPr="00222DB2">
        <w:rPr>
          <w:lang w:val="uk-UA"/>
        </w:rPr>
        <w:t>районного</w:t>
      </w:r>
      <w:r w:rsidRPr="00222DB2">
        <w:rPr>
          <w:lang w:val="uk-UA"/>
        </w:rPr>
        <w:t xml:space="preserve"> суду та апеляційного суду та виправдав батька заявни</w:t>
      </w:r>
      <w:r w:rsidR="00804E48" w:rsidRPr="00222DB2">
        <w:rPr>
          <w:lang w:val="uk-UA"/>
        </w:rPr>
        <w:t>ці</w:t>
      </w:r>
      <w:r w:rsidRPr="00222DB2">
        <w:rPr>
          <w:lang w:val="uk-UA"/>
        </w:rPr>
        <w:t>. Суд постановив, що оскільки засудження обвинуваченого значн</w:t>
      </w:r>
      <w:r w:rsidR="00804E48" w:rsidRPr="00222DB2">
        <w:rPr>
          <w:lang w:val="uk-UA"/>
        </w:rPr>
        <w:t>ою</w:t>
      </w:r>
      <w:r w:rsidRPr="00222DB2">
        <w:rPr>
          <w:lang w:val="uk-UA"/>
        </w:rPr>
        <w:t xml:space="preserve"> мір</w:t>
      </w:r>
      <w:r w:rsidR="00804E48" w:rsidRPr="00222DB2">
        <w:rPr>
          <w:lang w:val="uk-UA"/>
        </w:rPr>
        <w:t>ою</w:t>
      </w:r>
      <w:r w:rsidRPr="00222DB2">
        <w:rPr>
          <w:lang w:val="uk-UA"/>
        </w:rPr>
        <w:t xml:space="preserve"> ґрунту</w:t>
      </w:r>
      <w:r w:rsidR="00804E48" w:rsidRPr="00222DB2">
        <w:rPr>
          <w:lang w:val="uk-UA"/>
        </w:rPr>
        <w:t>валося</w:t>
      </w:r>
      <w:r w:rsidRPr="00222DB2">
        <w:rPr>
          <w:lang w:val="uk-UA"/>
        </w:rPr>
        <w:t xml:space="preserve"> на показаннях дитини-жертви, </w:t>
      </w:r>
      <w:r w:rsidR="00804E48" w:rsidRPr="00222DB2">
        <w:rPr>
          <w:lang w:val="uk-UA"/>
        </w:rPr>
        <w:t xml:space="preserve">було </w:t>
      </w:r>
      <w:r w:rsidRPr="00222DB2">
        <w:rPr>
          <w:lang w:val="uk-UA"/>
        </w:rPr>
        <w:t xml:space="preserve">важливо суворо дотримуватись правил щодо допиту потерпілої. Однак суди нижчої інстанції спиралися на заяви, подані потерпілою </w:t>
      </w:r>
      <w:r w:rsidR="0041495E" w:rsidRPr="00222DB2">
        <w:rPr>
          <w:lang w:val="uk-UA"/>
        </w:rPr>
        <w:t>на</w:t>
      </w:r>
      <w:r w:rsidRPr="00222DB2">
        <w:rPr>
          <w:lang w:val="uk-UA"/>
        </w:rPr>
        <w:t xml:space="preserve"> досудовому </w:t>
      </w:r>
      <w:r w:rsidR="0041495E" w:rsidRPr="00222DB2">
        <w:rPr>
          <w:lang w:val="uk-UA"/>
        </w:rPr>
        <w:t>розслідуванні</w:t>
      </w:r>
      <w:r w:rsidRPr="00222DB2">
        <w:rPr>
          <w:lang w:val="uk-UA"/>
        </w:rPr>
        <w:t>, незважаючи на те, що їй не було повідомлено про обов’язок говорити правду (</w:t>
      </w:r>
      <w:r w:rsidR="0041495E" w:rsidRPr="00222DB2">
        <w:rPr>
          <w:lang w:val="uk-UA"/>
        </w:rPr>
        <w:t xml:space="preserve">ч. </w:t>
      </w:r>
      <w:r w:rsidRPr="00222DB2">
        <w:rPr>
          <w:lang w:val="uk-UA"/>
        </w:rPr>
        <w:t>3 ст</w:t>
      </w:r>
      <w:r w:rsidR="0041495E" w:rsidRPr="00222DB2">
        <w:rPr>
          <w:lang w:val="uk-UA"/>
        </w:rPr>
        <w:t>.</w:t>
      </w:r>
      <w:r w:rsidRPr="00222DB2">
        <w:rPr>
          <w:lang w:val="uk-UA"/>
        </w:rPr>
        <w:t xml:space="preserve"> 66 К</w:t>
      </w:r>
      <w:r w:rsidR="0041495E" w:rsidRPr="00222DB2">
        <w:rPr>
          <w:lang w:val="uk-UA"/>
        </w:rPr>
        <w:t>ПК</w:t>
      </w:r>
      <w:r w:rsidRPr="00222DB2">
        <w:rPr>
          <w:lang w:val="uk-UA"/>
        </w:rPr>
        <w:t>) і їй не повідомляли, що вона може відмовитись давати показання проти свого батька (</w:t>
      </w:r>
      <w:r w:rsidR="0041495E" w:rsidRPr="00222DB2">
        <w:rPr>
          <w:lang w:val="uk-UA"/>
        </w:rPr>
        <w:t xml:space="preserve">ч. 1 </w:t>
      </w:r>
      <w:r w:rsidRPr="00222DB2">
        <w:rPr>
          <w:lang w:val="uk-UA"/>
        </w:rPr>
        <w:t>ст</w:t>
      </w:r>
      <w:r w:rsidR="0041495E" w:rsidRPr="00222DB2">
        <w:rPr>
          <w:lang w:val="uk-UA"/>
        </w:rPr>
        <w:t>.</w:t>
      </w:r>
      <w:r w:rsidRPr="00222DB2">
        <w:rPr>
          <w:lang w:val="uk-UA"/>
        </w:rPr>
        <w:t xml:space="preserve"> 71 </w:t>
      </w:r>
      <w:r w:rsidR="0041495E" w:rsidRPr="00222DB2">
        <w:rPr>
          <w:lang w:val="uk-UA"/>
        </w:rPr>
        <w:t>КПК</w:t>
      </w:r>
      <w:r w:rsidRPr="00222DB2">
        <w:rPr>
          <w:lang w:val="uk-UA"/>
        </w:rPr>
        <w:t xml:space="preserve">). </w:t>
      </w:r>
      <w:r w:rsidR="0041495E" w:rsidRPr="00222DB2">
        <w:rPr>
          <w:lang w:val="uk-UA"/>
        </w:rPr>
        <w:t xml:space="preserve">Верховний Суд </w:t>
      </w:r>
      <w:r w:rsidRPr="00222DB2">
        <w:rPr>
          <w:lang w:val="uk-UA"/>
        </w:rPr>
        <w:t xml:space="preserve">підкреслив, що хоча під час допиту слід брати до уваги вік свідка, не можна ігнорувати обов’язок пояснювати необхідність говорити правду, оскільки це вплинуло на вагу достовірності свідчень. </w:t>
      </w:r>
      <w:r w:rsidR="0041495E" w:rsidRPr="00222DB2">
        <w:rPr>
          <w:lang w:val="uk-UA"/>
        </w:rPr>
        <w:t xml:space="preserve">Верховний Суд </w:t>
      </w:r>
      <w:r w:rsidRPr="00222DB2">
        <w:rPr>
          <w:lang w:val="uk-UA"/>
        </w:rPr>
        <w:t xml:space="preserve">також зазначив, що для неповнолітніх не існує винятку із загального правила, згідно з яким можна </w:t>
      </w:r>
      <w:r w:rsidRPr="00222DB2">
        <w:rPr>
          <w:lang w:val="uk-UA"/>
        </w:rPr>
        <w:lastRenderedPageBreak/>
        <w:t xml:space="preserve">відмовитись від дачі показань з особистих причин. Якщо виникає необхідність відступити від загальних правил допиту свідків через їх вік або психічний стан, законодавчий орган повинен визначити ситуації, що виправдовують такий відхід. Заяви, отримані від потерпілої без інформування її про її права та обов’язки, не можна вважати </w:t>
      </w:r>
      <w:r w:rsidR="0041495E" w:rsidRPr="00222DB2">
        <w:rPr>
          <w:lang w:val="uk-UA"/>
        </w:rPr>
        <w:t>допустимими</w:t>
      </w:r>
      <w:r w:rsidRPr="00222DB2">
        <w:rPr>
          <w:lang w:val="uk-UA"/>
        </w:rPr>
        <w:t xml:space="preserve"> доказами, оскільки вони були отримані </w:t>
      </w:r>
      <w:r w:rsidR="00804E48" w:rsidRPr="00222DB2">
        <w:rPr>
          <w:lang w:val="uk-UA"/>
        </w:rPr>
        <w:t>внаслідок</w:t>
      </w:r>
      <w:r w:rsidRPr="00222DB2">
        <w:rPr>
          <w:lang w:val="uk-UA"/>
        </w:rPr>
        <w:t xml:space="preserve"> суттєвого порушення процесуального законодавства. </w:t>
      </w:r>
      <w:r w:rsidR="00804E48" w:rsidRPr="00222DB2">
        <w:rPr>
          <w:lang w:val="uk-UA"/>
        </w:rPr>
        <w:t xml:space="preserve">Відсутність роз’яснення потерпілій про її право не свідчити </w:t>
      </w:r>
      <w:r w:rsidRPr="00222DB2">
        <w:rPr>
          <w:lang w:val="uk-UA"/>
        </w:rPr>
        <w:t xml:space="preserve"> не </w:t>
      </w:r>
      <w:r w:rsidR="0041495E" w:rsidRPr="00222DB2">
        <w:rPr>
          <w:lang w:val="uk-UA"/>
        </w:rPr>
        <w:t>можна</w:t>
      </w:r>
      <w:r w:rsidRPr="00222DB2">
        <w:rPr>
          <w:lang w:val="uk-UA"/>
        </w:rPr>
        <w:t xml:space="preserve"> виправити шляхом передачі справи до суду нижчої інстанції, оскільки потерпіл</w:t>
      </w:r>
      <w:r w:rsidR="00804E48" w:rsidRPr="00222DB2">
        <w:rPr>
          <w:lang w:val="uk-UA"/>
        </w:rPr>
        <w:t>а</w:t>
      </w:r>
      <w:r w:rsidRPr="00222DB2">
        <w:rPr>
          <w:lang w:val="uk-UA"/>
        </w:rPr>
        <w:t xml:space="preserve"> бу</w:t>
      </w:r>
      <w:r w:rsidR="00804E48" w:rsidRPr="00222DB2">
        <w:rPr>
          <w:lang w:val="uk-UA"/>
        </w:rPr>
        <w:t>ла вже</w:t>
      </w:r>
      <w:r w:rsidRPr="00222DB2">
        <w:rPr>
          <w:lang w:val="uk-UA"/>
        </w:rPr>
        <w:t xml:space="preserve"> заслухан</w:t>
      </w:r>
      <w:r w:rsidR="00804E48" w:rsidRPr="00222DB2">
        <w:rPr>
          <w:lang w:val="uk-UA"/>
        </w:rPr>
        <w:t>а</w:t>
      </w:r>
      <w:r w:rsidRPr="00222DB2">
        <w:rPr>
          <w:lang w:val="uk-UA"/>
        </w:rPr>
        <w:t xml:space="preserve"> під час досудового </w:t>
      </w:r>
      <w:r w:rsidR="0041495E" w:rsidRPr="00222DB2">
        <w:rPr>
          <w:lang w:val="uk-UA"/>
        </w:rPr>
        <w:t>розслідування</w:t>
      </w:r>
      <w:r w:rsidRPr="00222DB2">
        <w:rPr>
          <w:lang w:val="uk-UA"/>
        </w:rPr>
        <w:t xml:space="preserve">, а не в суді. Виключення вирішальних доказів неминуче означало, що обвинувачений </w:t>
      </w:r>
      <w:r w:rsidR="00804E48" w:rsidRPr="00222DB2">
        <w:rPr>
          <w:lang w:val="uk-UA"/>
        </w:rPr>
        <w:t>мав</w:t>
      </w:r>
      <w:r w:rsidRPr="00222DB2">
        <w:rPr>
          <w:lang w:val="uk-UA"/>
        </w:rPr>
        <w:t xml:space="preserve"> бути виправданий за звинуваченнями, висунутими проти нього (п. 24).</w:t>
      </w:r>
    </w:p>
    <w:p w14:paraId="1869A322" w14:textId="4284F3C0" w:rsidR="0041495E" w:rsidRPr="00222DB2" w:rsidRDefault="0041495E" w:rsidP="009B1655">
      <w:pPr>
        <w:pStyle w:val="JuPara"/>
        <w:ind w:firstLine="0"/>
        <w:rPr>
          <w:lang w:val="uk-UA"/>
        </w:rPr>
      </w:pPr>
    </w:p>
    <w:p w14:paraId="0187E82B" w14:textId="45843F57" w:rsidR="0041495E" w:rsidRPr="00222DB2" w:rsidRDefault="0041495E" w:rsidP="009B1655">
      <w:pPr>
        <w:pStyle w:val="JuPara"/>
        <w:ind w:firstLine="0"/>
        <w:rPr>
          <w:lang w:val="uk-UA"/>
        </w:rPr>
      </w:pPr>
      <w:r w:rsidRPr="00222DB2">
        <w:rPr>
          <w:lang w:val="uk-UA"/>
        </w:rPr>
        <w:t xml:space="preserve">Верховний Суд також розглянув інші процесуальні питання, вказуючи на додаткові недоліки у рішеннях судів нижчих інстанцій. По-перше, суд першої інстанції та апеляційний суд, всупереч національному процесуальному законодавству, трактували показання ряду свідків, які не були безпосередніми свідками жодного </w:t>
      </w:r>
      <w:r w:rsidR="006D1545" w:rsidRPr="00222DB2">
        <w:rPr>
          <w:lang w:val="uk-UA"/>
        </w:rPr>
        <w:t>зі стверджуваних злочинів,</w:t>
      </w:r>
      <w:r w:rsidRPr="00222DB2">
        <w:rPr>
          <w:lang w:val="uk-UA"/>
        </w:rPr>
        <w:t xml:space="preserve"> а не як показання з чужих слів, а саме як прямі (безпосередні) докази. По-друге, апеляційний суд у своїх міркуваннях посилався на пояснення, надані заявни</w:t>
      </w:r>
      <w:r w:rsidR="006D1545" w:rsidRPr="00222DB2">
        <w:rPr>
          <w:lang w:val="uk-UA"/>
        </w:rPr>
        <w:t>цею</w:t>
      </w:r>
      <w:r w:rsidRPr="00222DB2">
        <w:rPr>
          <w:lang w:val="uk-UA"/>
        </w:rPr>
        <w:t xml:space="preserve"> під час підготовки висновку експерта, незважаючи на те, що вони не мо</w:t>
      </w:r>
      <w:r w:rsidR="006D1545" w:rsidRPr="00222DB2">
        <w:rPr>
          <w:lang w:val="uk-UA"/>
        </w:rPr>
        <w:t>гли</w:t>
      </w:r>
      <w:r w:rsidRPr="00222DB2">
        <w:rPr>
          <w:lang w:val="uk-UA"/>
        </w:rPr>
        <w:t xml:space="preserve"> бути використані як доказ. По-третє, суди нижчої інстанції помилково прирівняли усну заяву про кримінальне правопорушення, зафіксовану поліцією, до протоколу допиту потерпілого. Це можна було зробити лише за умови, що потерпіла була заслухана одночасно зі складанням протоколу про правопорушення, а потім бу</w:t>
      </w:r>
      <w:r w:rsidR="006D1545" w:rsidRPr="00222DB2">
        <w:rPr>
          <w:lang w:val="uk-UA"/>
        </w:rPr>
        <w:t>ла</w:t>
      </w:r>
      <w:r w:rsidRPr="00222DB2">
        <w:rPr>
          <w:lang w:val="uk-UA"/>
        </w:rPr>
        <w:t xml:space="preserve"> належним чином поінформована про свої права та обов’язки. Оскільки цього не було зроблено, посилання на таку заяву як на доказ означало порушення процесуального законодавства (п. 25).</w:t>
      </w:r>
    </w:p>
    <w:p w14:paraId="716F0186" w14:textId="77777777" w:rsidR="0041495E" w:rsidRPr="00222DB2" w:rsidRDefault="0041495E" w:rsidP="009B1655">
      <w:pPr>
        <w:pStyle w:val="JuPara"/>
        <w:ind w:firstLine="0"/>
        <w:rPr>
          <w:lang w:val="uk-UA"/>
        </w:rPr>
      </w:pPr>
    </w:p>
    <w:p w14:paraId="3CA80F91" w14:textId="060E211A" w:rsidR="0041495E" w:rsidRPr="00222DB2" w:rsidRDefault="0041495E" w:rsidP="0041495E">
      <w:pPr>
        <w:pStyle w:val="JuPara"/>
        <w:ind w:firstLine="0"/>
        <w:rPr>
          <w:lang w:val="uk-UA"/>
        </w:rPr>
      </w:pPr>
      <w:r w:rsidRPr="00222DB2">
        <w:rPr>
          <w:lang w:val="uk-UA"/>
        </w:rPr>
        <w:t>Верховний Суд не виявив жодних проблем з присутністю матері заявниці під час співбесід. Хоча ця ситуація конкретно не регулюється у національному законодавстві, право дитини на супровід її законним представником випливає зі ст. 20 Директиви ЄС 2011/92/ЄС. Крім того, використання навідних питань було чітко передбачено законом (п. 26).</w:t>
      </w:r>
    </w:p>
    <w:p w14:paraId="4AC00F5D" w14:textId="77777777" w:rsidR="0041495E" w:rsidRPr="00222DB2" w:rsidRDefault="0041495E" w:rsidP="0041495E">
      <w:pPr>
        <w:pStyle w:val="JuPara"/>
        <w:ind w:firstLine="0"/>
        <w:rPr>
          <w:lang w:val="uk-UA"/>
        </w:rPr>
      </w:pPr>
    </w:p>
    <w:p w14:paraId="1669FDC7" w14:textId="02E63CB8" w:rsidR="0041495E" w:rsidRPr="00222DB2" w:rsidRDefault="0041495E" w:rsidP="0041495E">
      <w:pPr>
        <w:pStyle w:val="JuPara"/>
        <w:ind w:firstLine="0"/>
        <w:rPr>
          <w:lang w:val="uk-UA"/>
        </w:rPr>
      </w:pPr>
      <w:r w:rsidRPr="00222DB2">
        <w:rPr>
          <w:lang w:val="uk-UA"/>
        </w:rPr>
        <w:t>Верховний Суд також зазначив, що, хоча захисник обвинуваченого не мав права бути присутнім під час допитів потерпілої, він мав можливість, якою він не скористався, ставити питання потерпілій як на досудовому розслідуванні, так і під час судового розгляду (п. 27).</w:t>
      </w:r>
    </w:p>
    <w:p w14:paraId="63DCE64D" w14:textId="77777777" w:rsidR="0041495E" w:rsidRPr="00222DB2" w:rsidRDefault="0041495E" w:rsidP="0041495E">
      <w:pPr>
        <w:pStyle w:val="JuPara"/>
        <w:ind w:firstLine="0"/>
        <w:rPr>
          <w:lang w:val="uk-UA"/>
        </w:rPr>
      </w:pPr>
    </w:p>
    <w:p w14:paraId="59E8EDFB" w14:textId="690878AE" w:rsidR="0041495E" w:rsidRPr="00222DB2" w:rsidRDefault="0041495E" w:rsidP="0041495E">
      <w:pPr>
        <w:pStyle w:val="JuPara"/>
        <w:ind w:firstLine="0"/>
        <w:rPr>
          <w:lang w:val="uk-UA"/>
        </w:rPr>
      </w:pPr>
      <w:r w:rsidRPr="00222DB2">
        <w:rPr>
          <w:lang w:val="uk-UA"/>
        </w:rPr>
        <w:t xml:space="preserve">Нарешті, щодо питання достовірності свідчень потерпілої, Верховний Суд встановив, що суди нижчих інстанцій не розглянули хід подій до подання заяви про злочин, включаючи можливий вплив часу та психологічних консультацій на </w:t>
      </w:r>
      <w:r w:rsidRPr="00222DB2">
        <w:rPr>
          <w:lang w:val="uk-UA"/>
        </w:rPr>
        <w:lastRenderedPageBreak/>
        <w:t>пам’ять жертви. Слід враховувати термінологію, яку використовує жертва, та інші обставини, які можуть свідчити про те, що на її висловлювання могли впливати інші люди (п. 28).</w:t>
      </w:r>
    </w:p>
    <w:p w14:paraId="050AAC9E" w14:textId="058CD11D" w:rsidR="0041495E" w:rsidRPr="00222DB2" w:rsidRDefault="0041495E" w:rsidP="0041495E">
      <w:pPr>
        <w:pStyle w:val="JuPara"/>
        <w:ind w:firstLine="0"/>
        <w:rPr>
          <w:lang w:val="uk-UA"/>
        </w:rPr>
      </w:pPr>
    </w:p>
    <w:p w14:paraId="5010ADD1" w14:textId="77777777" w:rsidR="0041495E" w:rsidRPr="00222DB2" w:rsidRDefault="0041495E" w:rsidP="0041495E">
      <w:pPr>
        <w:pStyle w:val="JuPara"/>
        <w:ind w:firstLine="0"/>
        <w:rPr>
          <w:lang w:val="uk-UA"/>
        </w:rPr>
      </w:pPr>
      <w:r w:rsidRPr="00222DB2">
        <w:rPr>
          <w:lang w:val="uk-UA"/>
        </w:rPr>
        <w:t>ЦИВІЛЬНИЙ ПРОЦЕС</w:t>
      </w:r>
    </w:p>
    <w:p w14:paraId="4D0D4AB4" w14:textId="77777777" w:rsidR="0041495E" w:rsidRPr="00222DB2" w:rsidRDefault="0041495E" w:rsidP="0041495E">
      <w:pPr>
        <w:pStyle w:val="JuPara"/>
        <w:ind w:firstLine="0"/>
        <w:rPr>
          <w:lang w:val="uk-UA"/>
        </w:rPr>
      </w:pPr>
    </w:p>
    <w:p w14:paraId="2AE8FFF9" w14:textId="4EF30B53" w:rsidR="0041495E" w:rsidRPr="00222DB2" w:rsidRDefault="0041495E" w:rsidP="0041495E">
      <w:pPr>
        <w:pStyle w:val="JuPara"/>
        <w:ind w:firstLine="0"/>
        <w:rPr>
          <w:lang w:val="uk-UA"/>
        </w:rPr>
      </w:pPr>
      <w:r w:rsidRPr="00222DB2">
        <w:rPr>
          <w:lang w:val="uk-UA"/>
        </w:rPr>
        <w:t xml:space="preserve">20 лютого 2012 року </w:t>
      </w:r>
      <w:r w:rsidR="006D1545" w:rsidRPr="00222DB2">
        <w:rPr>
          <w:lang w:val="uk-UA"/>
        </w:rPr>
        <w:t>районний</w:t>
      </w:r>
      <w:r w:rsidRPr="00222DB2">
        <w:rPr>
          <w:lang w:val="uk-UA"/>
        </w:rPr>
        <w:t xml:space="preserve"> суд визначив порядок спілкування заявниці з її батьками. 5 квітня 2012 року до договору було внесено зміни, щоб обмежити доступ батька з огляду на кримінальне провадження, розпочате проти нього 19 березня 2012 року (п. 29).</w:t>
      </w:r>
    </w:p>
    <w:p w14:paraId="081D8002" w14:textId="77777777" w:rsidR="0041495E" w:rsidRPr="00222DB2" w:rsidRDefault="0041495E" w:rsidP="0041495E">
      <w:pPr>
        <w:pStyle w:val="JuPara"/>
        <w:ind w:firstLine="0"/>
        <w:rPr>
          <w:lang w:val="uk-UA"/>
        </w:rPr>
      </w:pPr>
    </w:p>
    <w:p w14:paraId="47B0AD27" w14:textId="0940D918" w:rsidR="0041495E" w:rsidRPr="00222DB2" w:rsidRDefault="0041495E" w:rsidP="0041495E">
      <w:pPr>
        <w:pStyle w:val="JuPara"/>
        <w:ind w:firstLine="0"/>
        <w:rPr>
          <w:lang w:val="uk-UA"/>
        </w:rPr>
      </w:pPr>
      <w:r w:rsidRPr="00222DB2">
        <w:rPr>
          <w:lang w:val="uk-UA"/>
        </w:rPr>
        <w:t>26 червня 2013 року суд повністю заборонив батькові заявника доступ до неї (п. 30).</w:t>
      </w:r>
    </w:p>
    <w:p w14:paraId="29A6530E" w14:textId="6CCD10A2" w:rsidR="0041495E" w:rsidRPr="00222DB2" w:rsidRDefault="0041495E" w:rsidP="0041495E">
      <w:pPr>
        <w:pStyle w:val="JuPara"/>
        <w:ind w:firstLine="0"/>
        <w:rPr>
          <w:lang w:val="uk-UA"/>
        </w:rPr>
      </w:pPr>
    </w:p>
    <w:p w14:paraId="5FEF85C3" w14:textId="65CB42D2" w:rsidR="0041495E" w:rsidRPr="00222DB2" w:rsidRDefault="0041495E" w:rsidP="0041495E">
      <w:pPr>
        <w:pStyle w:val="JuPara"/>
        <w:ind w:firstLine="0"/>
        <w:rPr>
          <w:lang w:val="uk-UA"/>
        </w:rPr>
      </w:pPr>
      <w:r w:rsidRPr="00222DB2">
        <w:rPr>
          <w:lang w:val="uk-UA"/>
        </w:rPr>
        <w:t xml:space="preserve">20 листопада 2013 року цивільне провадження було зупинено до очікування результату кримінальної справи проти батька заявника. Після рішення Верховного </w:t>
      </w:r>
      <w:r w:rsidR="00031D4D" w:rsidRPr="00222DB2">
        <w:rPr>
          <w:lang w:val="uk-UA"/>
        </w:rPr>
        <w:t>С</w:t>
      </w:r>
      <w:r w:rsidRPr="00222DB2">
        <w:rPr>
          <w:lang w:val="uk-UA"/>
        </w:rPr>
        <w:t>уду від 23 жовтня 2015 року, яким виправдано батька заявника, цивільне провадження було відновлено 9 листопада 2015 року (п. 31).</w:t>
      </w:r>
    </w:p>
    <w:p w14:paraId="0BC8C397" w14:textId="77777777" w:rsidR="0041495E" w:rsidRPr="00222DB2" w:rsidRDefault="0041495E" w:rsidP="0041495E">
      <w:pPr>
        <w:pStyle w:val="JuPara"/>
        <w:ind w:firstLine="0"/>
        <w:rPr>
          <w:lang w:val="uk-UA"/>
        </w:rPr>
      </w:pPr>
    </w:p>
    <w:p w14:paraId="02EB6675" w14:textId="6A4E2B7E" w:rsidR="0041495E" w:rsidRPr="00222DB2" w:rsidRDefault="0041495E" w:rsidP="0041495E">
      <w:pPr>
        <w:pStyle w:val="JuPara"/>
        <w:ind w:firstLine="0"/>
        <w:rPr>
          <w:lang w:val="uk-UA"/>
        </w:rPr>
      </w:pPr>
      <w:r w:rsidRPr="00222DB2">
        <w:rPr>
          <w:lang w:val="uk-UA"/>
        </w:rPr>
        <w:t xml:space="preserve">4 травня 2016 року </w:t>
      </w:r>
      <w:r w:rsidR="006D1545" w:rsidRPr="00222DB2">
        <w:rPr>
          <w:lang w:val="uk-UA"/>
        </w:rPr>
        <w:t>районний</w:t>
      </w:r>
      <w:r w:rsidRPr="00222DB2">
        <w:rPr>
          <w:lang w:val="uk-UA"/>
        </w:rPr>
        <w:t xml:space="preserve"> суд </w:t>
      </w:r>
      <w:r w:rsidR="00031D4D" w:rsidRPr="00222DB2">
        <w:rPr>
          <w:lang w:val="uk-UA"/>
        </w:rPr>
        <w:t>постановив</w:t>
      </w:r>
      <w:r w:rsidRPr="00222DB2">
        <w:rPr>
          <w:lang w:val="uk-UA"/>
        </w:rPr>
        <w:t xml:space="preserve"> рішення про </w:t>
      </w:r>
      <w:r w:rsidR="00031D4D" w:rsidRPr="00222DB2">
        <w:rPr>
          <w:lang w:val="uk-UA"/>
        </w:rPr>
        <w:t xml:space="preserve">можливість </w:t>
      </w:r>
      <w:r w:rsidRPr="00222DB2">
        <w:rPr>
          <w:lang w:val="uk-UA"/>
        </w:rPr>
        <w:t>догляд</w:t>
      </w:r>
      <w:r w:rsidR="00031D4D" w:rsidRPr="00222DB2">
        <w:rPr>
          <w:lang w:val="uk-UA"/>
        </w:rPr>
        <w:t>у</w:t>
      </w:r>
      <w:r w:rsidRPr="00222DB2">
        <w:rPr>
          <w:lang w:val="uk-UA"/>
        </w:rPr>
        <w:t xml:space="preserve"> та доступ</w:t>
      </w:r>
      <w:r w:rsidR="00031D4D" w:rsidRPr="00222DB2">
        <w:rPr>
          <w:lang w:val="uk-UA"/>
        </w:rPr>
        <w:t>у</w:t>
      </w:r>
      <w:r w:rsidRPr="00222DB2">
        <w:rPr>
          <w:lang w:val="uk-UA"/>
        </w:rPr>
        <w:t xml:space="preserve"> до заявни</w:t>
      </w:r>
      <w:r w:rsidR="00031D4D" w:rsidRPr="00222DB2">
        <w:rPr>
          <w:lang w:val="uk-UA"/>
        </w:rPr>
        <w:t>ці</w:t>
      </w:r>
      <w:r w:rsidRPr="00222DB2">
        <w:rPr>
          <w:lang w:val="uk-UA"/>
        </w:rPr>
        <w:t xml:space="preserve">, яке було підтримано апеляційним судом. Однак це рішення було скасовано Верховним Судом, а справу передано на новий розгляд до </w:t>
      </w:r>
      <w:r w:rsidR="00031D4D" w:rsidRPr="00222DB2">
        <w:rPr>
          <w:lang w:val="uk-UA"/>
        </w:rPr>
        <w:t>а</w:t>
      </w:r>
      <w:r w:rsidRPr="00222DB2">
        <w:rPr>
          <w:lang w:val="uk-UA"/>
        </w:rPr>
        <w:t>пеляційного суду (п. 32).</w:t>
      </w:r>
    </w:p>
    <w:p w14:paraId="20A32D1C" w14:textId="77777777" w:rsidR="0041495E" w:rsidRPr="00222DB2" w:rsidRDefault="0041495E" w:rsidP="0041495E">
      <w:pPr>
        <w:pStyle w:val="JuPara"/>
        <w:ind w:firstLine="0"/>
        <w:rPr>
          <w:lang w:val="uk-UA"/>
        </w:rPr>
      </w:pPr>
    </w:p>
    <w:p w14:paraId="1BC6371A" w14:textId="07992D26" w:rsidR="0041495E" w:rsidRPr="00222DB2" w:rsidRDefault="0041495E" w:rsidP="0041495E">
      <w:pPr>
        <w:pStyle w:val="JuPara"/>
        <w:ind w:firstLine="0"/>
        <w:rPr>
          <w:lang w:val="uk-UA"/>
        </w:rPr>
      </w:pPr>
      <w:r w:rsidRPr="00222DB2">
        <w:rPr>
          <w:lang w:val="uk-UA"/>
        </w:rPr>
        <w:t xml:space="preserve">26 червня 2017 року </w:t>
      </w:r>
      <w:r w:rsidR="00031D4D" w:rsidRPr="00222DB2">
        <w:rPr>
          <w:lang w:val="uk-UA"/>
        </w:rPr>
        <w:t>а</w:t>
      </w:r>
      <w:r w:rsidRPr="00222DB2">
        <w:rPr>
          <w:lang w:val="uk-UA"/>
        </w:rPr>
        <w:t xml:space="preserve">пеляційний суд надав </w:t>
      </w:r>
      <w:r w:rsidR="00031D4D" w:rsidRPr="00222DB2">
        <w:rPr>
          <w:lang w:val="uk-UA"/>
        </w:rPr>
        <w:t xml:space="preserve">матері </w:t>
      </w:r>
      <w:r w:rsidR="006D1545" w:rsidRPr="00222DB2">
        <w:rPr>
          <w:lang w:val="uk-UA"/>
        </w:rPr>
        <w:t xml:space="preserve">право </w:t>
      </w:r>
      <w:r w:rsidR="00031D4D" w:rsidRPr="00222DB2">
        <w:rPr>
          <w:lang w:val="uk-UA"/>
        </w:rPr>
        <w:t>ви</w:t>
      </w:r>
      <w:r w:rsidR="006D1545" w:rsidRPr="00222DB2">
        <w:rPr>
          <w:lang w:val="uk-UA"/>
        </w:rPr>
        <w:t xml:space="preserve">няткової </w:t>
      </w:r>
      <w:r w:rsidRPr="00222DB2">
        <w:rPr>
          <w:lang w:val="uk-UA"/>
        </w:rPr>
        <w:t>опік</w:t>
      </w:r>
      <w:r w:rsidR="006D1545" w:rsidRPr="00222DB2">
        <w:rPr>
          <w:lang w:val="uk-UA"/>
        </w:rPr>
        <w:t>и</w:t>
      </w:r>
      <w:r w:rsidRPr="00222DB2">
        <w:rPr>
          <w:lang w:val="uk-UA"/>
        </w:rPr>
        <w:t xml:space="preserve"> над заявницею та повністю заборонив батькові доступ до неї до досягнення нею повноліття. Було встановлено, що він сексуально знущався над заявницею, поставивши під загрозу її фізичне, психічне та духовне благополуччя. Висновок ґрунту</w:t>
      </w:r>
      <w:r w:rsidR="00031D4D" w:rsidRPr="00222DB2">
        <w:rPr>
          <w:lang w:val="uk-UA"/>
        </w:rPr>
        <w:t>вався</w:t>
      </w:r>
      <w:r w:rsidRPr="00222DB2">
        <w:rPr>
          <w:lang w:val="uk-UA"/>
        </w:rPr>
        <w:t xml:space="preserve"> на показаннях дитини, заслуханих у суді першої інстанції, заявах її матері та свідків, а також на висновку експерта щодо психічного розвитку дитини. Апеляційний суд не погодився з аргументом батька заявника про те, що оскільки він був виправданий у кримінальному провадженні, цивільні суди не мали права посилатися на твердження про сексуальне насильство. Рішення Верховного </w:t>
      </w:r>
      <w:r w:rsidR="00031D4D" w:rsidRPr="00222DB2">
        <w:rPr>
          <w:lang w:val="uk-UA"/>
        </w:rPr>
        <w:t>С</w:t>
      </w:r>
      <w:r w:rsidRPr="00222DB2">
        <w:rPr>
          <w:lang w:val="uk-UA"/>
        </w:rPr>
        <w:t>уду стосувалося його кримінальної відповідальності, тоді як цивільні суди мали оцінити, чи становить його поведінка небезпеку для дитини в контексті спору про піклування та контакт</w:t>
      </w:r>
      <w:r w:rsidR="00031D4D" w:rsidRPr="00222DB2">
        <w:rPr>
          <w:lang w:val="uk-UA"/>
        </w:rPr>
        <w:t>ування з дитиною</w:t>
      </w:r>
      <w:r w:rsidRPr="00222DB2">
        <w:rPr>
          <w:lang w:val="uk-UA"/>
        </w:rPr>
        <w:t>. Виконуючи цю оцінку, суди повинні були врахувати всі подані докази та вирішити, чи було доведено твердження сторони. Апеляційний суд визнав важливим відзначити, що батько заявника був виправданий Верховним Судом через істотне порушення процесуального законодавства, а не через відсутність кримінального правопорушення (п. 33).</w:t>
      </w:r>
    </w:p>
    <w:p w14:paraId="741E3595" w14:textId="77777777" w:rsidR="0041495E" w:rsidRPr="00222DB2" w:rsidRDefault="0041495E" w:rsidP="0041495E">
      <w:pPr>
        <w:pStyle w:val="JuPara"/>
        <w:ind w:firstLine="0"/>
        <w:rPr>
          <w:lang w:val="uk-UA"/>
        </w:rPr>
      </w:pPr>
    </w:p>
    <w:p w14:paraId="063F035B" w14:textId="0DB38BFA" w:rsidR="0041495E" w:rsidRPr="00222DB2" w:rsidRDefault="0041495E" w:rsidP="0041495E">
      <w:pPr>
        <w:pStyle w:val="JuPara"/>
        <w:ind w:firstLine="0"/>
        <w:rPr>
          <w:lang w:val="uk-UA"/>
        </w:rPr>
      </w:pPr>
      <w:r w:rsidRPr="00222DB2">
        <w:rPr>
          <w:lang w:val="uk-UA"/>
        </w:rPr>
        <w:t xml:space="preserve">Схоже, апеляційну скаргу на рішення </w:t>
      </w:r>
      <w:r w:rsidR="00591637">
        <w:rPr>
          <w:lang w:val="uk-UA"/>
        </w:rPr>
        <w:t>а</w:t>
      </w:r>
      <w:r w:rsidRPr="00222DB2">
        <w:rPr>
          <w:lang w:val="uk-UA"/>
        </w:rPr>
        <w:t>пеляційного суду не подано (п. 34).</w:t>
      </w:r>
    </w:p>
    <w:p w14:paraId="2A4813DA" w14:textId="2A2E50E9" w:rsidR="00B14DD6" w:rsidRPr="00222DB2" w:rsidRDefault="00B14DD6" w:rsidP="0041495E">
      <w:pPr>
        <w:pStyle w:val="JuPara"/>
        <w:ind w:firstLine="0"/>
        <w:rPr>
          <w:lang w:val="uk-UA"/>
        </w:rPr>
      </w:pPr>
    </w:p>
    <w:p w14:paraId="4DE2D5C2" w14:textId="6DCDF2DF" w:rsidR="00B14DD6" w:rsidRPr="00222DB2" w:rsidRDefault="00B14DD6" w:rsidP="0041495E">
      <w:pPr>
        <w:pStyle w:val="JuPara"/>
        <w:ind w:firstLine="0"/>
        <w:rPr>
          <w:lang w:val="uk-UA"/>
        </w:rPr>
      </w:pPr>
      <w:r w:rsidRPr="00222DB2">
        <w:rPr>
          <w:lang w:val="uk-UA"/>
        </w:rPr>
        <w:t>НАЦІОНАЛЬНА СУДОВА ПРАКТИКА</w:t>
      </w:r>
    </w:p>
    <w:p w14:paraId="10EB470E" w14:textId="2D11A93F" w:rsidR="00B14DD6" w:rsidRPr="00222DB2" w:rsidRDefault="00B14DD6" w:rsidP="0041495E">
      <w:pPr>
        <w:pStyle w:val="JuPara"/>
        <w:ind w:firstLine="0"/>
        <w:rPr>
          <w:lang w:val="uk-UA"/>
        </w:rPr>
      </w:pPr>
    </w:p>
    <w:p w14:paraId="6F83562F" w14:textId="18A57597" w:rsidR="00B14DD6" w:rsidRPr="00222DB2" w:rsidRDefault="00B14DD6" w:rsidP="00B14DD6">
      <w:pPr>
        <w:pStyle w:val="JuPara"/>
        <w:ind w:firstLine="0"/>
        <w:rPr>
          <w:lang w:val="uk-UA"/>
        </w:rPr>
      </w:pPr>
      <w:r w:rsidRPr="00222DB2">
        <w:rPr>
          <w:lang w:val="uk-UA"/>
        </w:rPr>
        <w:t xml:space="preserve">У рішенні від 20 березня 2002 року у справі № 3-1-1-25-02 Верховний Суд встановив, що неповідомлення підозрюваного чи свідка про їхнє право не давати свідчення проти себе або своїх рідних є </w:t>
      </w:r>
      <w:r w:rsidR="00AD51B2" w:rsidRPr="00222DB2">
        <w:rPr>
          <w:lang w:val="uk-UA"/>
        </w:rPr>
        <w:t>грубим</w:t>
      </w:r>
      <w:r w:rsidRPr="00222DB2">
        <w:rPr>
          <w:lang w:val="uk-UA"/>
        </w:rPr>
        <w:t xml:space="preserve"> порушенням кримінально-процесуального законодавства, що призводить до визнання доказів недопустимими. Не можна вважати цей обов’язок формальним, просто даючи особі підписати чи ознайомитися зі списком відповідних статей КПК. Слідчий повинен був усно розкрити та пояснити свідку відповідні положення (п. 40).</w:t>
      </w:r>
    </w:p>
    <w:p w14:paraId="2695DE4F" w14:textId="77777777" w:rsidR="00B14DD6" w:rsidRPr="00222DB2" w:rsidRDefault="00B14DD6" w:rsidP="00B14DD6">
      <w:pPr>
        <w:pStyle w:val="JuPara"/>
        <w:ind w:firstLine="0"/>
        <w:rPr>
          <w:lang w:val="uk-UA"/>
        </w:rPr>
      </w:pPr>
    </w:p>
    <w:p w14:paraId="37441BF5" w14:textId="47BD8AB1" w:rsidR="00B14DD6" w:rsidRPr="00222DB2" w:rsidRDefault="00B14DD6" w:rsidP="00B14DD6">
      <w:pPr>
        <w:pStyle w:val="JuPara"/>
        <w:ind w:firstLine="0"/>
        <w:rPr>
          <w:lang w:val="uk-UA"/>
        </w:rPr>
      </w:pPr>
      <w:r w:rsidRPr="00222DB2">
        <w:rPr>
          <w:lang w:val="uk-UA"/>
        </w:rPr>
        <w:t>18 квітня 2005 року в справі № 3-1-1-19-05 Верховний Суд постановив, що, оцінюючи вплив порушення процесуальної норми на допустимість доказів, необхідно враховувати мету відповідної норми та встановити чи були докази отримані без порушення (п. 41).</w:t>
      </w:r>
    </w:p>
    <w:p w14:paraId="29E2688A" w14:textId="77777777" w:rsidR="00B14DD6" w:rsidRPr="00222DB2" w:rsidRDefault="00B14DD6" w:rsidP="00B14DD6">
      <w:pPr>
        <w:pStyle w:val="JuPara"/>
        <w:ind w:firstLine="0"/>
        <w:rPr>
          <w:lang w:val="uk-UA"/>
        </w:rPr>
      </w:pPr>
    </w:p>
    <w:p w14:paraId="79501491" w14:textId="5EF5B1A1" w:rsidR="00B14DD6" w:rsidRPr="00222DB2" w:rsidRDefault="00B14DD6" w:rsidP="00B14DD6">
      <w:pPr>
        <w:pStyle w:val="JuPara"/>
        <w:ind w:firstLine="0"/>
        <w:rPr>
          <w:lang w:val="uk-UA"/>
        </w:rPr>
      </w:pPr>
      <w:r w:rsidRPr="00222DB2">
        <w:rPr>
          <w:lang w:val="uk-UA"/>
        </w:rPr>
        <w:t>У рішенні від 2 травня 2007 року в справі №. 3-1-1-6-07 Верховний Суд постановив, що не кожне порушення процесуального законодавства в процесі збору доказів обов'язково означало недопустимість цих доказів. Однак дії слідчого</w:t>
      </w:r>
      <w:r w:rsidR="00B44204" w:rsidRPr="00222DB2">
        <w:rPr>
          <w:lang w:val="uk-UA"/>
        </w:rPr>
        <w:t>, який</w:t>
      </w:r>
      <w:r w:rsidRPr="00222DB2">
        <w:rPr>
          <w:lang w:val="uk-UA"/>
        </w:rPr>
        <w:t xml:space="preserve"> </w:t>
      </w:r>
      <w:r w:rsidR="00B44204" w:rsidRPr="00222DB2">
        <w:rPr>
          <w:lang w:val="uk-UA"/>
        </w:rPr>
        <w:t xml:space="preserve">вважав, що конкретне порушення не є суттєвим, </w:t>
      </w:r>
      <w:r w:rsidRPr="00222DB2">
        <w:rPr>
          <w:lang w:val="uk-UA"/>
        </w:rPr>
        <w:t>не можуть бути виправдані</w:t>
      </w:r>
      <w:r w:rsidR="00B44204" w:rsidRPr="00222DB2">
        <w:rPr>
          <w:lang w:val="uk-UA"/>
        </w:rPr>
        <w:t xml:space="preserve"> в силу грубого порушення норм КПК. Навіть одиничні </w:t>
      </w:r>
      <w:r w:rsidRPr="00222DB2">
        <w:rPr>
          <w:lang w:val="uk-UA"/>
        </w:rPr>
        <w:t xml:space="preserve">порушення можуть становити </w:t>
      </w:r>
      <w:r w:rsidR="00B44204" w:rsidRPr="00222DB2">
        <w:rPr>
          <w:lang w:val="uk-UA"/>
        </w:rPr>
        <w:t>грубе</w:t>
      </w:r>
      <w:r w:rsidRPr="00222DB2">
        <w:rPr>
          <w:lang w:val="uk-UA"/>
        </w:rPr>
        <w:t xml:space="preserve"> порушення процесуального законодавства, якщо слідчий допустив їх </w:t>
      </w:r>
      <w:r w:rsidR="00AD51B2" w:rsidRPr="00222DB2">
        <w:rPr>
          <w:lang w:val="uk-UA"/>
        </w:rPr>
        <w:t>свідомо</w:t>
      </w:r>
      <w:r w:rsidRPr="00222DB2">
        <w:rPr>
          <w:lang w:val="uk-UA"/>
        </w:rPr>
        <w:t xml:space="preserve"> (п. 42).</w:t>
      </w:r>
    </w:p>
    <w:p w14:paraId="0156D867" w14:textId="77777777" w:rsidR="00B14DD6" w:rsidRPr="00222DB2" w:rsidRDefault="00B14DD6" w:rsidP="00B14DD6">
      <w:pPr>
        <w:pStyle w:val="JuPara"/>
        <w:ind w:firstLine="0"/>
        <w:rPr>
          <w:lang w:val="uk-UA"/>
        </w:rPr>
      </w:pPr>
    </w:p>
    <w:p w14:paraId="1031F930" w14:textId="5BCA5AAE" w:rsidR="00B14DD6" w:rsidRPr="00222DB2" w:rsidRDefault="00B14DD6" w:rsidP="00B14DD6">
      <w:pPr>
        <w:pStyle w:val="JuPara"/>
        <w:ind w:firstLine="0"/>
        <w:rPr>
          <w:lang w:val="uk-UA"/>
        </w:rPr>
      </w:pPr>
      <w:r w:rsidRPr="00222DB2">
        <w:rPr>
          <w:lang w:val="uk-UA"/>
        </w:rPr>
        <w:t>6 жовтня 2007 р</w:t>
      </w:r>
      <w:r w:rsidR="00B44204" w:rsidRPr="00222DB2">
        <w:rPr>
          <w:lang w:val="uk-UA"/>
        </w:rPr>
        <w:t>оку в</w:t>
      </w:r>
      <w:r w:rsidRPr="00222DB2">
        <w:rPr>
          <w:lang w:val="uk-UA"/>
        </w:rPr>
        <w:t xml:space="preserve"> справі № 1-15-10967 Верховний Суд постановив, що якщо засудження ґрунтується на одному-єдиному доказі, такому як свідчення потерпілої, для суду було особливо важливо всебічно вивчити і неупереджено всі можливі сумніви, які могли виникнути під час оцінки цього єдиного викривального доказу, а також спростувати ці сумніви переконливо та зрозумілим для </w:t>
      </w:r>
      <w:r w:rsidR="00B44204" w:rsidRPr="00222DB2">
        <w:rPr>
          <w:lang w:val="uk-UA"/>
        </w:rPr>
        <w:t>неупередженого спостерігача</w:t>
      </w:r>
      <w:r w:rsidRPr="00222DB2">
        <w:rPr>
          <w:lang w:val="uk-UA"/>
        </w:rPr>
        <w:t xml:space="preserve"> способом (п. 43).</w:t>
      </w:r>
    </w:p>
    <w:p w14:paraId="4F766A2A" w14:textId="77777777" w:rsidR="00B14DD6" w:rsidRPr="00222DB2" w:rsidRDefault="00B14DD6" w:rsidP="00B14DD6">
      <w:pPr>
        <w:pStyle w:val="JuPara"/>
        <w:ind w:firstLine="0"/>
        <w:rPr>
          <w:lang w:val="uk-UA"/>
        </w:rPr>
      </w:pPr>
    </w:p>
    <w:p w14:paraId="18AF40CB" w14:textId="5FC9CBC5" w:rsidR="00B44204" w:rsidRPr="00222DB2" w:rsidRDefault="00B14DD6" w:rsidP="00B44204">
      <w:pPr>
        <w:pStyle w:val="JuPara"/>
        <w:ind w:firstLine="0"/>
        <w:rPr>
          <w:lang w:val="uk-UA"/>
        </w:rPr>
      </w:pPr>
      <w:r w:rsidRPr="00222DB2">
        <w:rPr>
          <w:lang w:val="uk-UA"/>
        </w:rPr>
        <w:t xml:space="preserve">У справі № 3-1-1-72-07 від 20 листопада 2007 року Верховний Суд підкреслив, що лише законно зібрані докази можуть служити підставою для покарання особи у кримінальному провадженні. Заяви свідків, які не були належним чином поінформовані про свої права та обов'язки, не могли </w:t>
      </w:r>
      <w:r w:rsidR="00AD51B2" w:rsidRPr="00222DB2">
        <w:rPr>
          <w:lang w:val="uk-UA"/>
        </w:rPr>
        <w:t>бути допустимими д</w:t>
      </w:r>
      <w:r w:rsidRPr="00222DB2">
        <w:rPr>
          <w:lang w:val="uk-UA"/>
        </w:rPr>
        <w:t>оказ</w:t>
      </w:r>
      <w:r w:rsidR="00AD51B2" w:rsidRPr="00222DB2">
        <w:rPr>
          <w:lang w:val="uk-UA"/>
        </w:rPr>
        <w:t>ами</w:t>
      </w:r>
      <w:r w:rsidRPr="00222DB2">
        <w:rPr>
          <w:lang w:val="uk-UA"/>
        </w:rPr>
        <w:t>, оскільки вони були отримані з істотним порушенням процесуального права (п. 44).</w:t>
      </w:r>
    </w:p>
    <w:p w14:paraId="660D2A0A" w14:textId="77777777" w:rsidR="00B44204" w:rsidRPr="00222DB2" w:rsidRDefault="00B44204" w:rsidP="00B44204">
      <w:pPr>
        <w:pStyle w:val="JuPara"/>
        <w:ind w:firstLine="0"/>
        <w:rPr>
          <w:lang w:val="uk-UA"/>
        </w:rPr>
      </w:pPr>
    </w:p>
    <w:p w14:paraId="4EA1EED4" w14:textId="77777777" w:rsidR="00B44204" w:rsidRPr="00222DB2" w:rsidRDefault="00B44204" w:rsidP="00B44204">
      <w:pPr>
        <w:pStyle w:val="JuPara"/>
        <w:ind w:firstLine="0"/>
        <w:rPr>
          <w:rFonts w:eastAsia="Times New Roman"/>
          <w:i/>
          <w:iCs/>
          <w:lang w:val="uk-UA"/>
        </w:rPr>
      </w:pPr>
      <w:r w:rsidRPr="00222DB2">
        <w:rPr>
          <w:rFonts w:eastAsia="Times New Roman"/>
          <w:i/>
          <w:iCs/>
          <w:lang w:val="uk-UA"/>
        </w:rPr>
        <w:t>Відшкодування шкоди</w:t>
      </w:r>
    </w:p>
    <w:p w14:paraId="7820AB2A" w14:textId="77777777" w:rsidR="00B44204" w:rsidRPr="00222DB2" w:rsidRDefault="00B44204" w:rsidP="00B44204">
      <w:pPr>
        <w:pStyle w:val="JuPara"/>
        <w:ind w:firstLine="0"/>
        <w:rPr>
          <w:rFonts w:eastAsia="Times New Roman"/>
          <w:i/>
          <w:iCs/>
          <w:lang w:val="uk-UA"/>
        </w:rPr>
      </w:pPr>
    </w:p>
    <w:p w14:paraId="1FDE5B63" w14:textId="5E23B542" w:rsidR="00D3519A" w:rsidRPr="00222DB2" w:rsidRDefault="00B44204" w:rsidP="00D3519A">
      <w:pPr>
        <w:pStyle w:val="JuPara"/>
        <w:ind w:firstLine="0"/>
        <w:rPr>
          <w:rFonts w:eastAsia="Times New Roman"/>
          <w:lang w:val="uk-UA"/>
        </w:rPr>
      </w:pPr>
      <w:r w:rsidRPr="00222DB2">
        <w:rPr>
          <w:rFonts w:eastAsia="Times New Roman"/>
          <w:lang w:val="uk-UA"/>
        </w:rPr>
        <w:t xml:space="preserve">13 червня 2016 року в справі № 3-1-1-34-16 Верховний Суд розглянув вимогу про відшкодування шкоди, заподіяної позивачу проведенням НСРД щодо нього у </w:t>
      </w:r>
      <w:r w:rsidRPr="00222DB2">
        <w:rPr>
          <w:rFonts w:eastAsia="Times New Roman"/>
          <w:lang w:val="uk-UA"/>
        </w:rPr>
        <w:lastRenderedPageBreak/>
        <w:t xml:space="preserve">рамках кримінального провадження. Верховний Суд вважав, що оскільки відповідна діяльність вже була визнана незаконною за рішенням кримінального суду, заподіяна шкода потрапила </w:t>
      </w:r>
      <w:r w:rsidR="00AD51B2" w:rsidRPr="00222DB2">
        <w:rPr>
          <w:rFonts w:eastAsia="Times New Roman"/>
          <w:lang w:val="uk-UA"/>
        </w:rPr>
        <w:t>до</w:t>
      </w:r>
      <w:r w:rsidRPr="00222DB2">
        <w:rPr>
          <w:rFonts w:eastAsia="Times New Roman"/>
          <w:lang w:val="uk-UA"/>
        </w:rPr>
        <w:t xml:space="preserve"> сфер</w:t>
      </w:r>
      <w:r w:rsidR="00AD51B2" w:rsidRPr="00222DB2">
        <w:rPr>
          <w:rFonts w:eastAsia="Times New Roman"/>
          <w:lang w:val="uk-UA"/>
        </w:rPr>
        <w:t>и</w:t>
      </w:r>
      <w:r w:rsidRPr="00222DB2">
        <w:rPr>
          <w:rFonts w:eastAsia="Times New Roman"/>
          <w:lang w:val="uk-UA"/>
        </w:rPr>
        <w:t xml:space="preserve"> застосування ст. 7(1) Закону про відшкодування шкоди, </w:t>
      </w:r>
      <w:r w:rsidR="00AD51B2" w:rsidRPr="00222DB2">
        <w:rPr>
          <w:rFonts w:eastAsia="Times New Roman"/>
          <w:lang w:val="uk-UA"/>
        </w:rPr>
        <w:t>завданої</w:t>
      </w:r>
      <w:r w:rsidRPr="00222DB2">
        <w:rPr>
          <w:rFonts w:eastAsia="Times New Roman"/>
          <w:lang w:val="uk-UA"/>
        </w:rPr>
        <w:t xml:space="preserve"> у кримінальному провадженні. Верховний Суд повторив, що лише у виняткових обставинах, коли особа не мала можливості </w:t>
      </w:r>
      <w:r w:rsidR="00D3519A" w:rsidRPr="00222DB2">
        <w:rPr>
          <w:rFonts w:eastAsia="Times New Roman"/>
          <w:lang w:val="uk-UA"/>
        </w:rPr>
        <w:t>вимагати</w:t>
      </w:r>
      <w:r w:rsidRPr="00222DB2">
        <w:rPr>
          <w:rFonts w:eastAsia="Times New Roman"/>
          <w:lang w:val="uk-UA"/>
        </w:rPr>
        <w:t xml:space="preserve"> оцінити законність процесуальних заходів у так званому головному провадженні, суд, </w:t>
      </w:r>
      <w:r w:rsidR="00D3519A" w:rsidRPr="00222DB2">
        <w:rPr>
          <w:rFonts w:eastAsia="Times New Roman"/>
          <w:lang w:val="uk-UA"/>
        </w:rPr>
        <w:t>що ухвалює</w:t>
      </w:r>
      <w:r w:rsidRPr="00222DB2">
        <w:rPr>
          <w:rFonts w:eastAsia="Times New Roman"/>
          <w:lang w:val="uk-UA"/>
        </w:rPr>
        <w:t xml:space="preserve"> виносить рішення у справі про компенсацію, має право оцінити законність вжитих дій або </w:t>
      </w:r>
      <w:r w:rsidR="00D3519A" w:rsidRPr="00222DB2">
        <w:rPr>
          <w:rFonts w:eastAsia="Times New Roman"/>
          <w:lang w:val="uk-UA"/>
        </w:rPr>
        <w:t>рішень</w:t>
      </w:r>
      <w:r w:rsidRPr="00222DB2">
        <w:rPr>
          <w:rFonts w:eastAsia="Times New Roman"/>
          <w:lang w:val="uk-UA"/>
        </w:rPr>
        <w:t xml:space="preserve">, </w:t>
      </w:r>
      <w:r w:rsidR="00D3519A" w:rsidRPr="00222DB2">
        <w:rPr>
          <w:rFonts w:eastAsia="Times New Roman"/>
          <w:lang w:val="uk-UA"/>
        </w:rPr>
        <w:t>ухвалених</w:t>
      </w:r>
      <w:r w:rsidRPr="00222DB2">
        <w:rPr>
          <w:rFonts w:eastAsia="Times New Roman"/>
          <w:lang w:val="uk-UA"/>
        </w:rPr>
        <w:t xml:space="preserve"> у кримінальному провадженні</w:t>
      </w:r>
      <w:r w:rsidR="00D3519A" w:rsidRPr="00222DB2">
        <w:rPr>
          <w:rFonts w:eastAsia="Times New Roman"/>
          <w:lang w:val="uk-UA"/>
        </w:rPr>
        <w:t xml:space="preserve"> (п. 45).</w:t>
      </w:r>
    </w:p>
    <w:p w14:paraId="1F8389DA" w14:textId="77777777" w:rsidR="00D3519A" w:rsidRPr="00222DB2" w:rsidRDefault="00D3519A" w:rsidP="00D3519A">
      <w:pPr>
        <w:pStyle w:val="JuPara"/>
        <w:ind w:firstLine="0"/>
        <w:rPr>
          <w:rFonts w:eastAsia="Times New Roman"/>
          <w:lang w:val="uk-UA"/>
        </w:rPr>
      </w:pPr>
    </w:p>
    <w:p w14:paraId="42BD015B" w14:textId="2A7177F0" w:rsidR="00B44204" w:rsidRPr="00222DB2" w:rsidRDefault="00B44204" w:rsidP="00D3519A">
      <w:pPr>
        <w:pStyle w:val="JuPara"/>
        <w:ind w:firstLine="0"/>
        <w:rPr>
          <w:rFonts w:eastAsia="Times New Roman"/>
          <w:lang w:val="uk-UA"/>
        </w:rPr>
      </w:pPr>
      <w:r w:rsidRPr="00222DB2">
        <w:rPr>
          <w:rFonts w:eastAsia="Times New Roman"/>
          <w:lang w:val="uk-UA"/>
        </w:rPr>
        <w:t>​​Рішенням від 22 грудня 2017 р</w:t>
      </w:r>
      <w:r w:rsidR="00D3519A" w:rsidRPr="00222DB2">
        <w:rPr>
          <w:rFonts w:eastAsia="Times New Roman"/>
          <w:lang w:val="uk-UA"/>
        </w:rPr>
        <w:t>оку в</w:t>
      </w:r>
      <w:r w:rsidRPr="00222DB2">
        <w:rPr>
          <w:rFonts w:eastAsia="Times New Roman"/>
          <w:lang w:val="uk-UA"/>
        </w:rPr>
        <w:t xml:space="preserve"> справі № 1-16-2675 Верховний Суд присудив засудженому відшкодування моральної шкоди, заподіяної незаконними рішеннями суду, що стосуються його попереднього ув'язнення</w:t>
      </w:r>
      <w:r w:rsidR="00D3519A" w:rsidRPr="00222DB2">
        <w:rPr>
          <w:rFonts w:eastAsia="Times New Roman"/>
          <w:lang w:val="uk-UA"/>
        </w:rPr>
        <w:t xml:space="preserve"> (п. 46).</w:t>
      </w:r>
    </w:p>
    <w:p w14:paraId="5E130A87" w14:textId="1B87BCCE" w:rsidR="00D3519A" w:rsidRPr="00222DB2" w:rsidRDefault="00D3519A" w:rsidP="00D3519A">
      <w:pPr>
        <w:pStyle w:val="JuPara"/>
        <w:ind w:firstLine="0"/>
        <w:rPr>
          <w:rFonts w:eastAsia="Times New Roman"/>
          <w:lang w:val="uk-UA"/>
        </w:rPr>
      </w:pPr>
    </w:p>
    <w:p w14:paraId="4162E38F" w14:textId="449026CB" w:rsidR="00D3519A" w:rsidRPr="00222DB2" w:rsidRDefault="00D3519A" w:rsidP="00D3519A">
      <w:pPr>
        <w:pStyle w:val="JuPara"/>
        <w:ind w:firstLine="0"/>
        <w:rPr>
          <w:rFonts w:eastAsia="Times New Roman"/>
          <w:lang w:val="uk-UA"/>
        </w:rPr>
      </w:pPr>
      <w:r w:rsidRPr="00222DB2">
        <w:rPr>
          <w:rFonts w:eastAsia="Times New Roman"/>
          <w:lang w:val="uk-UA"/>
        </w:rPr>
        <w:t xml:space="preserve">ЗАЯВЛЕНЕ ПОРУШЕННЯ СТ. 3 </w:t>
      </w:r>
      <w:r w:rsidR="00AD51B2" w:rsidRPr="00222DB2">
        <w:rPr>
          <w:rFonts w:eastAsia="Times New Roman"/>
          <w:lang w:val="uk-UA"/>
        </w:rPr>
        <w:t>і</w:t>
      </w:r>
      <w:r w:rsidRPr="00222DB2">
        <w:rPr>
          <w:rFonts w:eastAsia="Times New Roman"/>
          <w:lang w:val="uk-UA"/>
        </w:rPr>
        <w:t xml:space="preserve"> СТ. 8 КОНВЕНЦІЇ </w:t>
      </w:r>
    </w:p>
    <w:p w14:paraId="16F1BD72" w14:textId="6C34BD5D" w:rsidR="00D3519A" w:rsidRPr="00222DB2" w:rsidRDefault="00D3519A" w:rsidP="00D3519A">
      <w:pPr>
        <w:pStyle w:val="JuPara"/>
        <w:ind w:firstLine="0"/>
        <w:rPr>
          <w:rFonts w:eastAsia="Times New Roman"/>
          <w:lang w:val="uk-UA"/>
        </w:rPr>
      </w:pPr>
    </w:p>
    <w:p w14:paraId="3E517D6A" w14:textId="1066106D" w:rsidR="00D3519A" w:rsidRPr="00222DB2" w:rsidRDefault="00D3519A" w:rsidP="00D3519A">
      <w:pPr>
        <w:pStyle w:val="JuPara"/>
        <w:ind w:firstLine="0"/>
        <w:rPr>
          <w:rFonts w:eastAsia="Times New Roman"/>
          <w:lang w:val="uk-UA"/>
        </w:rPr>
      </w:pPr>
      <w:r w:rsidRPr="00222DB2">
        <w:rPr>
          <w:rFonts w:eastAsia="Times New Roman"/>
          <w:lang w:val="uk-UA"/>
        </w:rPr>
        <w:t xml:space="preserve">Заявниця скаржилася на те, що органи влади не провели ефективного кримінального розслідування за її заявами про сексуальне насильство з боку її батька. Зокрема, органи влади не змогли зібрати докази відповідно до </w:t>
      </w:r>
      <w:r w:rsidR="00AD51B2" w:rsidRPr="00222DB2">
        <w:rPr>
          <w:rFonts w:eastAsia="Times New Roman"/>
          <w:lang w:val="uk-UA"/>
        </w:rPr>
        <w:t xml:space="preserve">вимог </w:t>
      </w:r>
      <w:r w:rsidRPr="00222DB2">
        <w:rPr>
          <w:rFonts w:eastAsia="Times New Roman"/>
          <w:lang w:val="uk-UA"/>
        </w:rPr>
        <w:t>процесуальн</w:t>
      </w:r>
      <w:r w:rsidR="00AD51B2" w:rsidRPr="00222DB2">
        <w:rPr>
          <w:rFonts w:eastAsia="Times New Roman"/>
          <w:lang w:val="uk-UA"/>
        </w:rPr>
        <w:t>ого законодавства</w:t>
      </w:r>
      <w:r w:rsidRPr="00222DB2">
        <w:rPr>
          <w:rFonts w:eastAsia="Times New Roman"/>
          <w:lang w:val="uk-UA"/>
        </w:rPr>
        <w:t xml:space="preserve">, що призвело до їх виключення </w:t>
      </w:r>
      <w:r w:rsidR="00AD51B2" w:rsidRPr="00222DB2">
        <w:rPr>
          <w:rFonts w:eastAsia="Times New Roman"/>
          <w:lang w:val="uk-UA"/>
        </w:rPr>
        <w:t xml:space="preserve">з переліку доказів </w:t>
      </w:r>
      <w:r w:rsidRPr="00222DB2">
        <w:rPr>
          <w:rFonts w:eastAsia="Times New Roman"/>
          <w:lang w:val="uk-UA"/>
        </w:rPr>
        <w:t>під час судового розгляду та виправдання передбачуваного злочинця. Залишивши її без ефективного правового захисту від сексуального насильства, держава порушила свої позитивні зобов’язання за ст. 3 і ст. 8 Конвенції (п. 54).</w:t>
      </w:r>
    </w:p>
    <w:p w14:paraId="528AA869" w14:textId="2C6BAA93" w:rsidR="00D3519A" w:rsidRPr="00222DB2" w:rsidRDefault="00D3519A" w:rsidP="00D3519A">
      <w:pPr>
        <w:pStyle w:val="JuPara"/>
        <w:ind w:firstLine="0"/>
        <w:rPr>
          <w:rFonts w:eastAsia="Times New Roman"/>
          <w:lang w:val="uk-UA"/>
        </w:rPr>
      </w:pPr>
    </w:p>
    <w:p w14:paraId="397B887E" w14:textId="38D15CE8" w:rsidR="00D3519A" w:rsidRPr="00222DB2" w:rsidRDefault="00D3519A" w:rsidP="00D3519A">
      <w:pPr>
        <w:pStyle w:val="JuPara"/>
        <w:ind w:firstLine="0"/>
        <w:rPr>
          <w:rFonts w:eastAsia="Times New Roman"/>
          <w:b/>
          <w:bCs/>
          <w:lang w:val="uk-UA"/>
        </w:rPr>
      </w:pPr>
      <w:r w:rsidRPr="00222DB2">
        <w:rPr>
          <w:rFonts w:eastAsia="Times New Roman"/>
          <w:b/>
          <w:bCs/>
          <w:lang w:val="uk-UA"/>
        </w:rPr>
        <w:t>Прийнятність</w:t>
      </w:r>
    </w:p>
    <w:p w14:paraId="5DF8CCE8" w14:textId="52E60A0B" w:rsidR="00D3519A" w:rsidRPr="00222DB2" w:rsidRDefault="00D3519A" w:rsidP="00D3519A">
      <w:pPr>
        <w:pStyle w:val="JuPara"/>
        <w:ind w:firstLine="0"/>
        <w:rPr>
          <w:rFonts w:eastAsia="Times New Roman"/>
          <w:lang w:val="uk-UA"/>
        </w:rPr>
      </w:pPr>
    </w:p>
    <w:p w14:paraId="5E1C3910" w14:textId="4A387976" w:rsidR="00D3519A" w:rsidRPr="00222DB2" w:rsidRDefault="00D3519A" w:rsidP="00D3519A">
      <w:pPr>
        <w:pStyle w:val="JuPara"/>
        <w:ind w:firstLine="0"/>
        <w:rPr>
          <w:rFonts w:eastAsia="Times New Roman"/>
          <w:i/>
          <w:iCs/>
          <w:lang w:val="uk-UA"/>
        </w:rPr>
      </w:pPr>
      <w:r w:rsidRPr="00222DB2">
        <w:rPr>
          <w:rFonts w:eastAsia="Times New Roman"/>
          <w:i/>
          <w:iCs/>
          <w:lang w:val="uk-UA"/>
        </w:rPr>
        <w:t>Порушення права заявниці</w:t>
      </w:r>
    </w:p>
    <w:p w14:paraId="20ECE358" w14:textId="77777777" w:rsidR="00D3519A" w:rsidRPr="00222DB2" w:rsidRDefault="00D3519A" w:rsidP="00D3519A">
      <w:pPr>
        <w:pStyle w:val="JuPara"/>
        <w:ind w:firstLine="0"/>
        <w:rPr>
          <w:rFonts w:eastAsia="Times New Roman"/>
          <w:lang w:val="uk-UA"/>
        </w:rPr>
      </w:pPr>
    </w:p>
    <w:p w14:paraId="21041FE5" w14:textId="22FFDFAE" w:rsidR="00D3519A" w:rsidRPr="00222DB2" w:rsidRDefault="00D3519A" w:rsidP="00D3519A">
      <w:pPr>
        <w:pStyle w:val="JuPara"/>
        <w:ind w:firstLine="0"/>
        <w:rPr>
          <w:rFonts w:eastAsia="Times New Roman"/>
          <w:lang w:val="uk-UA"/>
        </w:rPr>
      </w:pPr>
      <w:r w:rsidRPr="00222DB2">
        <w:rPr>
          <w:rFonts w:eastAsia="Times New Roman"/>
          <w:lang w:val="uk-UA"/>
        </w:rPr>
        <w:t xml:space="preserve">Уряд запропонував </w:t>
      </w:r>
      <w:r w:rsidR="00AD51B2" w:rsidRPr="00222DB2">
        <w:rPr>
          <w:rFonts w:eastAsia="Times New Roman"/>
          <w:lang w:val="uk-UA"/>
        </w:rPr>
        <w:t>ЄСПЛ</w:t>
      </w:r>
      <w:r w:rsidRPr="00222DB2">
        <w:rPr>
          <w:rFonts w:eastAsia="Times New Roman"/>
          <w:lang w:val="uk-UA"/>
        </w:rPr>
        <w:t xml:space="preserve"> відхилити заяву як зловживання правом на подання заяви. Уряд стверджував, що заявник не вчасно повідомив </w:t>
      </w:r>
      <w:r w:rsidR="00AD51B2" w:rsidRPr="00222DB2">
        <w:rPr>
          <w:rFonts w:eastAsia="Times New Roman"/>
          <w:lang w:val="uk-UA"/>
        </w:rPr>
        <w:t>ЄСПЛ</w:t>
      </w:r>
      <w:r w:rsidRPr="00222DB2">
        <w:rPr>
          <w:rFonts w:eastAsia="Times New Roman"/>
          <w:lang w:val="uk-UA"/>
        </w:rPr>
        <w:t xml:space="preserve"> про розвиток подій у цивільному процесі, зокрема рішення </w:t>
      </w:r>
      <w:r w:rsidR="00AD51B2" w:rsidRPr="00222DB2">
        <w:rPr>
          <w:rFonts w:eastAsia="Times New Roman"/>
          <w:lang w:val="uk-UA"/>
        </w:rPr>
        <w:t>а</w:t>
      </w:r>
      <w:r w:rsidRPr="00222DB2">
        <w:rPr>
          <w:rFonts w:eastAsia="Times New Roman"/>
          <w:lang w:val="uk-UA"/>
        </w:rPr>
        <w:t xml:space="preserve">пеляційного суду від 26 червня 2017 року </w:t>
      </w:r>
      <w:r w:rsidRPr="00222DB2">
        <w:rPr>
          <w:rFonts w:eastAsia="Times New Roman"/>
          <w:i/>
          <w:iCs/>
          <w:lang w:val="uk-UA"/>
        </w:rPr>
        <w:t>(п. 33).</w:t>
      </w:r>
      <w:r w:rsidRPr="00222DB2">
        <w:rPr>
          <w:rFonts w:eastAsia="Times New Roman"/>
          <w:lang w:val="uk-UA"/>
        </w:rPr>
        <w:t xml:space="preserve"> Хоча це рішення було ухвалене після подання заяви 19 квітня 2016 року, заявниця мала обов’язок негайно подати її до </w:t>
      </w:r>
      <w:r w:rsidR="00AD51B2" w:rsidRPr="00222DB2">
        <w:rPr>
          <w:rFonts w:eastAsia="Times New Roman"/>
          <w:lang w:val="uk-UA"/>
        </w:rPr>
        <w:t>ЄСПЛ</w:t>
      </w:r>
      <w:r w:rsidRPr="00222DB2">
        <w:rPr>
          <w:rFonts w:eastAsia="Times New Roman"/>
          <w:lang w:val="uk-UA"/>
        </w:rPr>
        <w:t xml:space="preserve">, а не у відповідь на зауваження Уряду після повідомлення про заяву. Рішення </w:t>
      </w:r>
      <w:r w:rsidR="00AD51B2" w:rsidRPr="00222DB2">
        <w:rPr>
          <w:rFonts w:eastAsia="Times New Roman"/>
          <w:lang w:val="uk-UA"/>
        </w:rPr>
        <w:t>а</w:t>
      </w:r>
      <w:r w:rsidRPr="00222DB2">
        <w:rPr>
          <w:rFonts w:eastAsia="Times New Roman"/>
          <w:lang w:val="uk-UA"/>
        </w:rPr>
        <w:t xml:space="preserve">пеляційного суду від 26 червня 2017 року </w:t>
      </w:r>
      <w:r w:rsidR="00AD51B2" w:rsidRPr="00222DB2">
        <w:rPr>
          <w:rFonts w:eastAsia="Times New Roman"/>
          <w:lang w:val="uk-UA"/>
        </w:rPr>
        <w:t>становило</w:t>
      </w:r>
      <w:r w:rsidRPr="00222DB2">
        <w:rPr>
          <w:rFonts w:eastAsia="Times New Roman"/>
          <w:lang w:val="uk-UA"/>
        </w:rPr>
        <w:t xml:space="preserve"> відповідну нову інформацію, яка свідчить про те, що скарги заявниці були усунені та що вона втратила статус жертви (п. 55).</w:t>
      </w:r>
    </w:p>
    <w:p w14:paraId="6576270B" w14:textId="77777777" w:rsidR="00D3519A" w:rsidRPr="00222DB2" w:rsidRDefault="00D3519A" w:rsidP="00D3519A">
      <w:pPr>
        <w:pStyle w:val="JuPara"/>
        <w:ind w:firstLine="0"/>
        <w:rPr>
          <w:rFonts w:eastAsia="Times New Roman"/>
          <w:lang w:val="uk-UA"/>
        </w:rPr>
      </w:pPr>
    </w:p>
    <w:p w14:paraId="36486A23" w14:textId="007FF13B" w:rsidR="00D3519A" w:rsidRPr="00222DB2" w:rsidRDefault="00AD51B2" w:rsidP="00D3519A">
      <w:pPr>
        <w:pStyle w:val="JuPara"/>
        <w:ind w:firstLine="0"/>
        <w:rPr>
          <w:rFonts w:eastAsia="Times New Roman"/>
          <w:lang w:val="uk-UA"/>
        </w:rPr>
      </w:pPr>
      <w:r w:rsidRPr="00222DB2">
        <w:rPr>
          <w:rFonts w:eastAsia="Times New Roman"/>
          <w:lang w:val="uk-UA"/>
        </w:rPr>
        <w:t>ЄСПЛ</w:t>
      </w:r>
      <w:r w:rsidR="00D3519A" w:rsidRPr="00222DB2">
        <w:rPr>
          <w:rFonts w:eastAsia="Times New Roman"/>
          <w:lang w:val="uk-UA"/>
        </w:rPr>
        <w:t xml:space="preserve"> повторює, що подання неповної та</w:t>
      </w:r>
      <w:r w:rsidR="00476574" w:rsidRPr="00222DB2">
        <w:rPr>
          <w:rFonts w:eastAsia="Times New Roman"/>
          <w:lang w:val="uk-UA"/>
        </w:rPr>
        <w:t xml:space="preserve">, як наслідок, </w:t>
      </w:r>
      <w:r w:rsidR="00D3519A" w:rsidRPr="00222DB2">
        <w:rPr>
          <w:rFonts w:eastAsia="Times New Roman"/>
          <w:lang w:val="uk-UA"/>
        </w:rPr>
        <w:t>оманливої</w:t>
      </w:r>
      <w:r w:rsidR="00476574" w:rsidRPr="00222DB2">
        <w:rPr>
          <w:rFonts w:eastAsia="Times New Roman"/>
          <w:lang w:val="uk-UA"/>
        </w:rPr>
        <w:t xml:space="preserve"> </w:t>
      </w:r>
      <w:r w:rsidR="00D3519A" w:rsidRPr="00222DB2">
        <w:rPr>
          <w:rFonts w:eastAsia="Times New Roman"/>
          <w:lang w:val="uk-UA"/>
        </w:rPr>
        <w:t>інформації може призвести до зловживання правом на звернення, особливо якщо інформація стосується самої суті справи</w:t>
      </w:r>
      <w:r w:rsidRPr="00222DB2">
        <w:rPr>
          <w:rFonts w:eastAsia="Times New Roman"/>
          <w:lang w:val="uk-UA"/>
        </w:rPr>
        <w:t>, де</w:t>
      </w:r>
      <w:r w:rsidR="00D3519A" w:rsidRPr="00222DB2">
        <w:rPr>
          <w:rFonts w:eastAsia="Times New Roman"/>
          <w:lang w:val="uk-UA"/>
        </w:rPr>
        <w:t xml:space="preserve"> </w:t>
      </w:r>
      <w:r w:rsidR="00476574" w:rsidRPr="00222DB2">
        <w:rPr>
          <w:rFonts w:eastAsia="Times New Roman"/>
          <w:lang w:val="uk-UA"/>
        </w:rPr>
        <w:t xml:space="preserve">водночас </w:t>
      </w:r>
      <w:r w:rsidR="00D3519A" w:rsidRPr="00222DB2">
        <w:rPr>
          <w:rFonts w:eastAsia="Times New Roman"/>
          <w:lang w:val="uk-UA"/>
        </w:rPr>
        <w:t xml:space="preserve">не надано достатніх пояснень щодо нерозголошення цієї інформації. Те саме стосується і тих випадків, коли під час провадження </w:t>
      </w:r>
      <w:r w:rsidR="00476574" w:rsidRPr="00222DB2">
        <w:rPr>
          <w:rFonts w:eastAsia="Times New Roman"/>
          <w:lang w:val="uk-UA"/>
        </w:rPr>
        <w:t xml:space="preserve">в ЄСПЛ </w:t>
      </w:r>
      <w:r w:rsidR="00D3519A" w:rsidRPr="00222DB2">
        <w:rPr>
          <w:rFonts w:eastAsia="Times New Roman"/>
          <w:lang w:val="uk-UA"/>
        </w:rPr>
        <w:t xml:space="preserve">відбулися важливі зміни, і якщо, незважаючи на те, що це </w:t>
      </w:r>
      <w:r w:rsidR="00D3519A" w:rsidRPr="00222DB2">
        <w:rPr>
          <w:rFonts w:eastAsia="Times New Roman"/>
          <w:lang w:val="uk-UA"/>
        </w:rPr>
        <w:lastRenderedPageBreak/>
        <w:t>прямо вимагається п. 7 Правила 47 Регламенту Суду, заявник не розкрив цю інформацію Суду, запобігаючи таким чином прийнятт</w:t>
      </w:r>
      <w:r w:rsidR="00B115FD" w:rsidRPr="00222DB2">
        <w:rPr>
          <w:rFonts w:eastAsia="Times New Roman"/>
          <w:lang w:val="uk-UA"/>
        </w:rPr>
        <w:t>ю</w:t>
      </w:r>
      <w:r w:rsidR="00D3519A" w:rsidRPr="00222DB2">
        <w:rPr>
          <w:rFonts w:eastAsia="Times New Roman"/>
          <w:lang w:val="uk-UA"/>
        </w:rPr>
        <w:t xml:space="preserve"> рішення по справі при повному знанні фактів. Однак навіть у таких випадках намір заявника ввести в оману </w:t>
      </w:r>
      <w:r w:rsidR="00B115FD" w:rsidRPr="00222DB2">
        <w:rPr>
          <w:rFonts w:eastAsia="Times New Roman"/>
          <w:lang w:val="uk-UA"/>
        </w:rPr>
        <w:t>ЄСПЛ</w:t>
      </w:r>
      <w:r w:rsidR="00D3519A" w:rsidRPr="00222DB2">
        <w:rPr>
          <w:rFonts w:eastAsia="Times New Roman"/>
          <w:lang w:val="uk-UA"/>
        </w:rPr>
        <w:t xml:space="preserve"> завжди повинен бути встановлений з достатньою достовірністю </w:t>
      </w:r>
      <w:r w:rsidR="00D3519A" w:rsidRPr="00222DB2">
        <w:rPr>
          <w:i/>
          <w:iCs/>
          <w:lang w:val="uk-UA"/>
        </w:rPr>
        <w:t>(</w:t>
      </w:r>
      <w:proofErr w:type="spellStart"/>
      <w:r w:rsidR="00D3519A" w:rsidRPr="00222DB2">
        <w:rPr>
          <w:i/>
          <w:iCs/>
          <w:lang w:val="uk-UA"/>
        </w:rPr>
        <w:t>see</w:t>
      </w:r>
      <w:proofErr w:type="spellEnd"/>
      <w:r w:rsidR="00D3519A" w:rsidRPr="00222DB2">
        <w:rPr>
          <w:i/>
          <w:iCs/>
          <w:lang w:val="uk-UA"/>
        </w:rPr>
        <w:t xml:space="preserve"> </w:t>
      </w:r>
      <w:proofErr w:type="spellStart"/>
      <w:r w:rsidR="00D3519A" w:rsidRPr="00222DB2">
        <w:rPr>
          <w:i/>
          <w:iCs/>
          <w:lang w:val="uk-UA"/>
        </w:rPr>
        <w:t>Gross</w:t>
      </w:r>
      <w:proofErr w:type="spellEnd"/>
      <w:r w:rsidR="00D3519A" w:rsidRPr="00222DB2">
        <w:rPr>
          <w:i/>
          <w:iCs/>
          <w:lang w:val="uk-UA"/>
        </w:rPr>
        <w:t xml:space="preserve"> v. Switzerland [GC], № 67810, </w:t>
      </w:r>
      <w:r w:rsidR="00D3519A" w:rsidRPr="00222DB2">
        <w:rPr>
          <w:rFonts w:cstheme="minorHAnsi"/>
          <w:i/>
          <w:iCs/>
          <w:lang w:val="uk-UA"/>
        </w:rPr>
        <w:t>п.</w:t>
      </w:r>
      <w:r w:rsidR="00D3519A" w:rsidRPr="00222DB2">
        <w:rPr>
          <w:i/>
          <w:iCs/>
          <w:lang w:val="uk-UA"/>
        </w:rPr>
        <w:t xml:space="preserve"> 28, with further </w:t>
      </w:r>
      <w:proofErr w:type="spellStart"/>
      <w:r w:rsidR="00D3519A" w:rsidRPr="00222DB2">
        <w:rPr>
          <w:i/>
          <w:iCs/>
          <w:lang w:val="uk-UA"/>
        </w:rPr>
        <w:t>references</w:t>
      </w:r>
      <w:proofErr w:type="spellEnd"/>
      <w:r w:rsidR="00D3519A" w:rsidRPr="00222DB2">
        <w:rPr>
          <w:i/>
          <w:iCs/>
          <w:lang w:val="uk-UA"/>
        </w:rPr>
        <w:t xml:space="preserve">) </w:t>
      </w:r>
      <w:r w:rsidR="00D3519A" w:rsidRPr="00222DB2">
        <w:rPr>
          <w:lang w:val="uk-UA"/>
        </w:rPr>
        <w:t>(п. 56).</w:t>
      </w:r>
    </w:p>
    <w:p w14:paraId="4C7628E6" w14:textId="77777777" w:rsidR="00D3519A" w:rsidRPr="00222DB2" w:rsidRDefault="00D3519A" w:rsidP="00D3519A">
      <w:pPr>
        <w:pStyle w:val="JuPara"/>
        <w:ind w:firstLine="0"/>
        <w:rPr>
          <w:rFonts w:eastAsia="Times New Roman"/>
          <w:lang w:val="uk-UA"/>
        </w:rPr>
      </w:pPr>
    </w:p>
    <w:p w14:paraId="4F14536E" w14:textId="6B0A2702" w:rsidR="00D3519A" w:rsidRPr="00222DB2" w:rsidRDefault="00D3519A" w:rsidP="00D3519A">
      <w:pPr>
        <w:pStyle w:val="JuPara"/>
        <w:ind w:firstLine="0"/>
        <w:rPr>
          <w:rFonts w:eastAsia="Times New Roman"/>
          <w:lang w:val="uk-UA"/>
        </w:rPr>
      </w:pPr>
      <w:r w:rsidRPr="00222DB2">
        <w:rPr>
          <w:rFonts w:eastAsia="Times New Roman"/>
          <w:lang w:val="uk-UA"/>
        </w:rPr>
        <w:t xml:space="preserve">У цій справі Суд зазначає, що скарга заявниці, яка розглядається, стосується конкретно кримінального провадження щодо її нібито жорстокого поводження, яке на момент подання заяви закінчилося остаточним рішенням Верховного Суду. Цивільний процес, що триває, не був предметом подання заяви та переслідував іншу мету </w:t>
      </w:r>
      <w:r w:rsidR="00476574" w:rsidRPr="00222DB2">
        <w:rPr>
          <w:rFonts w:eastAsia="Times New Roman"/>
          <w:lang w:val="uk-UA"/>
        </w:rPr>
        <w:t>–</w:t>
      </w:r>
      <w:r w:rsidRPr="00222DB2">
        <w:rPr>
          <w:rFonts w:eastAsia="Times New Roman"/>
          <w:lang w:val="uk-UA"/>
        </w:rPr>
        <w:t xml:space="preserve"> вирішення спору про опіку та контакт</w:t>
      </w:r>
      <w:r w:rsidR="00476574" w:rsidRPr="00222DB2">
        <w:rPr>
          <w:rFonts w:eastAsia="Times New Roman"/>
          <w:lang w:val="uk-UA"/>
        </w:rPr>
        <w:t>и</w:t>
      </w:r>
      <w:r w:rsidRPr="00222DB2">
        <w:rPr>
          <w:rFonts w:eastAsia="Times New Roman"/>
          <w:lang w:val="uk-UA"/>
        </w:rPr>
        <w:t xml:space="preserve"> між батьками заявника. Незважаючи на це, заявник проінформував Суд про відповідне рішення цивільного суду, дозволивши Уряду подати подальші заяви на цій підставі. Враховуючи характер скарги заявника, оскаржувана затримка у поданні інформації не може розглядатися як спроба заявни</w:t>
      </w:r>
      <w:r w:rsidR="00476574" w:rsidRPr="00222DB2">
        <w:rPr>
          <w:rFonts w:eastAsia="Times New Roman"/>
          <w:lang w:val="uk-UA"/>
        </w:rPr>
        <w:t>ці</w:t>
      </w:r>
      <w:r w:rsidRPr="00222DB2">
        <w:rPr>
          <w:rFonts w:eastAsia="Times New Roman"/>
          <w:lang w:val="uk-UA"/>
        </w:rPr>
        <w:t xml:space="preserve"> приховати від </w:t>
      </w:r>
      <w:r w:rsidR="00476574" w:rsidRPr="00222DB2">
        <w:rPr>
          <w:rFonts w:eastAsia="Times New Roman"/>
          <w:lang w:val="uk-UA"/>
        </w:rPr>
        <w:t>ЄСПЛ</w:t>
      </w:r>
      <w:r w:rsidRPr="00222DB2">
        <w:rPr>
          <w:rFonts w:eastAsia="Times New Roman"/>
          <w:lang w:val="uk-UA"/>
        </w:rPr>
        <w:t xml:space="preserve"> будь-яку істотну інформацію, яка мала б значення для прийняття </w:t>
      </w:r>
      <w:r w:rsidR="00476574" w:rsidRPr="00222DB2">
        <w:rPr>
          <w:rFonts w:eastAsia="Times New Roman"/>
          <w:lang w:val="uk-UA"/>
        </w:rPr>
        <w:t>Судом</w:t>
      </w:r>
      <w:r w:rsidRPr="00222DB2">
        <w:rPr>
          <w:rFonts w:eastAsia="Times New Roman"/>
          <w:lang w:val="uk-UA"/>
        </w:rPr>
        <w:t xml:space="preserve"> рішення (п. 57).</w:t>
      </w:r>
    </w:p>
    <w:p w14:paraId="06D77816" w14:textId="77777777" w:rsidR="00D3519A" w:rsidRPr="00222DB2" w:rsidRDefault="00D3519A" w:rsidP="00D3519A">
      <w:pPr>
        <w:pStyle w:val="JuPara"/>
        <w:ind w:firstLine="0"/>
        <w:rPr>
          <w:rFonts w:eastAsia="Times New Roman"/>
          <w:lang w:val="uk-UA"/>
        </w:rPr>
      </w:pPr>
    </w:p>
    <w:p w14:paraId="0370B4BF" w14:textId="1173A4CE" w:rsidR="00D3519A" w:rsidRPr="00222DB2" w:rsidRDefault="00D3519A" w:rsidP="00D3519A">
      <w:pPr>
        <w:pStyle w:val="JuPara"/>
        <w:ind w:firstLine="0"/>
        <w:rPr>
          <w:rFonts w:eastAsia="Times New Roman"/>
          <w:lang w:val="uk-UA"/>
        </w:rPr>
      </w:pPr>
      <w:r w:rsidRPr="00222DB2">
        <w:rPr>
          <w:rFonts w:eastAsia="Times New Roman"/>
          <w:lang w:val="uk-UA"/>
        </w:rPr>
        <w:t>Тому Суд відхиляє заперечення Уряду про зловживання правом на подання заяви (п. 58).</w:t>
      </w:r>
    </w:p>
    <w:p w14:paraId="1C86373F" w14:textId="64023F81" w:rsidR="00476574" w:rsidRPr="00222DB2" w:rsidRDefault="00476574" w:rsidP="00D3519A">
      <w:pPr>
        <w:pStyle w:val="JuPara"/>
        <w:ind w:firstLine="0"/>
        <w:rPr>
          <w:rFonts w:eastAsia="Times New Roman"/>
          <w:lang w:val="uk-UA"/>
        </w:rPr>
      </w:pPr>
    </w:p>
    <w:p w14:paraId="2BA056C6" w14:textId="7430C2CB" w:rsidR="00476574" w:rsidRPr="00222DB2" w:rsidRDefault="00476574" w:rsidP="00476574">
      <w:pPr>
        <w:pStyle w:val="JuPara"/>
        <w:ind w:firstLine="0"/>
        <w:rPr>
          <w:rFonts w:eastAsia="Times New Roman"/>
          <w:i/>
          <w:iCs/>
          <w:lang w:val="uk-UA"/>
        </w:rPr>
      </w:pPr>
      <w:r w:rsidRPr="00222DB2">
        <w:rPr>
          <w:rFonts w:eastAsia="Times New Roman"/>
          <w:i/>
          <w:iCs/>
          <w:lang w:val="uk-UA"/>
        </w:rPr>
        <w:t>Статус жертви</w:t>
      </w:r>
    </w:p>
    <w:p w14:paraId="593A36B1" w14:textId="77777777" w:rsidR="00476574" w:rsidRPr="00222DB2" w:rsidRDefault="00476574" w:rsidP="00476574">
      <w:pPr>
        <w:pStyle w:val="JuPara"/>
        <w:ind w:firstLine="0"/>
        <w:rPr>
          <w:rFonts w:eastAsia="Times New Roman"/>
          <w:lang w:val="uk-UA"/>
        </w:rPr>
      </w:pPr>
    </w:p>
    <w:p w14:paraId="412DA4D3" w14:textId="4E10C99C" w:rsidR="00476574" w:rsidRPr="00222DB2" w:rsidRDefault="00476574" w:rsidP="00476574">
      <w:pPr>
        <w:pStyle w:val="JuPara"/>
        <w:ind w:firstLine="0"/>
        <w:rPr>
          <w:rFonts w:eastAsia="Times New Roman"/>
          <w:lang w:val="uk-UA"/>
        </w:rPr>
      </w:pPr>
      <w:r w:rsidRPr="00222DB2">
        <w:rPr>
          <w:rFonts w:eastAsia="Times New Roman"/>
          <w:lang w:val="uk-UA"/>
        </w:rPr>
        <w:t xml:space="preserve">Уряд стверджував, що заявниця втратила статус жертви, отримавши судове рішення на її користь у подальших цивільних справах щодо опіки та права на контакт. Уряд зазначив, що у своїй ухвалі від 26 червня 2017 року </w:t>
      </w:r>
      <w:r w:rsidR="00B115FD" w:rsidRPr="00222DB2">
        <w:rPr>
          <w:rFonts w:eastAsia="Times New Roman"/>
          <w:lang w:val="uk-UA"/>
        </w:rPr>
        <w:t>а</w:t>
      </w:r>
      <w:r w:rsidRPr="00222DB2">
        <w:rPr>
          <w:rFonts w:eastAsia="Times New Roman"/>
          <w:lang w:val="uk-UA"/>
        </w:rPr>
        <w:t>пеляційний суд, провівши оцінку всіх доказів незалежно від кримінальних судів, встановив, що заявниця зазнала сексуального насильства з боку її батька, і заборонив будь-які контакти з нею до досягнення нею 18-ти років (п. 59).</w:t>
      </w:r>
    </w:p>
    <w:p w14:paraId="673A80AB" w14:textId="77777777" w:rsidR="00476574" w:rsidRPr="00222DB2" w:rsidRDefault="00476574" w:rsidP="00476574">
      <w:pPr>
        <w:pStyle w:val="JuPara"/>
        <w:ind w:firstLine="0"/>
        <w:rPr>
          <w:rFonts w:eastAsia="Times New Roman"/>
          <w:lang w:val="uk-UA"/>
        </w:rPr>
      </w:pPr>
    </w:p>
    <w:p w14:paraId="0F1903A7" w14:textId="57C4F3B6" w:rsidR="00476574" w:rsidRPr="00222DB2" w:rsidRDefault="00476574" w:rsidP="00476574">
      <w:pPr>
        <w:pStyle w:val="JuPara"/>
        <w:ind w:firstLine="0"/>
        <w:rPr>
          <w:rFonts w:eastAsia="Times New Roman"/>
          <w:lang w:val="uk-UA"/>
        </w:rPr>
      </w:pPr>
      <w:r w:rsidRPr="00222DB2">
        <w:rPr>
          <w:rFonts w:eastAsia="Times New Roman"/>
          <w:lang w:val="uk-UA"/>
        </w:rPr>
        <w:t>Заявниця стверджувала, що цивільний процес не був достатнім за обставин її справи, що вимагало ефективного переслідування злочинця та засудження з боку держави (п. 60).</w:t>
      </w:r>
    </w:p>
    <w:p w14:paraId="39C663CF" w14:textId="0AEFDC1C" w:rsidR="00476574" w:rsidRPr="00222DB2" w:rsidRDefault="00476574" w:rsidP="00476574">
      <w:pPr>
        <w:pStyle w:val="JuPara"/>
        <w:ind w:firstLine="0"/>
        <w:rPr>
          <w:rFonts w:eastAsia="Times New Roman"/>
          <w:lang w:val="uk-UA"/>
        </w:rPr>
      </w:pPr>
    </w:p>
    <w:p w14:paraId="5C7E6C69" w14:textId="7DE5BCDB" w:rsidR="00476574" w:rsidRPr="00222DB2" w:rsidRDefault="00476574" w:rsidP="00476574">
      <w:pPr>
        <w:pStyle w:val="JuPara"/>
        <w:ind w:firstLine="0"/>
        <w:rPr>
          <w:lang w:val="uk-UA"/>
        </w:rPr>
      </w:pPr>
      <w:r w:rsidRPr="00222DB2">
        <w:rPr>
          <w:rFonts w:eastAsia="Times New Roman"/>
          <w:lang w:val="uk-UA"/>
        </w:rPr>
        <w:t xml:space="preserve">Суд повторює, що ефективний захист від зґвалтування та сексуального насильства над дітьми, де йдеться про основоположні цінності та суттєві аспекти приватного життя, вимагає заходів кримінально-правового характеру </w:t>
      </w:r>
      <w:r w:rsidRPr="00222DB2">
        <w:rPr>
          <w:i/>
          <w:iCs/>
          <w:lang w:val="uk-UA"/>
        </w:rPr>
        <w:t>(</w:t>
      </w:r>
      <w:proofErr w:type="spellStart"/>
      <w:r w:rsidRPr="00222DB2">
        <w:rPr>
          <w:i/>
          <w:iCs/>
          <w:lang w:val="uk-UA"/>
        </w:rPr>
        <w:t>see</w:t>
      </w:r>
      <w:proofErr w:type="spellEnd"/>
      <w:r w:rsidRPr="00222DB2">
        <w:rPr>
          <w:i/>
          <w:iCs/>
          <w:lang w:val="uk-UA"/>
        </w:rPr>
        <w:t xml:space="preserve"> «Söderman v. </w:t>
      </w:r>
      <w:proofErr w:type="spellStart"/>
      <w:r w:rsidRPr="00222DB2">
        <w:rPr>
          <w:i/>
          <w:iCs/>
          <w:lang w:val="uk-UA"/>
        </w:rPr>
        <w:t>Sweden</w:t>
      </w:r>
      <w:proofErr w:type="spellEnd"/>
      <w:r w:rsidRPr="00222DB2">
        <w:rPr>
          <w:i/>
          <w:iCs/>
          <w:lang w:val="uk-UA"/>
        </w:rPr>
        <w:t xml:space="preserve">» [GC], № 5786/08, п. 82). </w:t>
      </w:r>
      <w:r w:rsidRPr="00222DB2">
        <w:rPr>
          <w:rFonts w:eastAsia="Times New Roman"/>
          <w:lang w:val="uk-UA"/>
        </w:rPr>
        <w:t xml:space="preserve">Захист, наданий цивільним судочинством, є недостатнім </w:t>
      </w:r>
      <w:r w:rsidRPr="00222DB2">
        <w:rPr>
          <w:i/>
          <w:iCs/>
          <w:lang w:val="uk-UA"/>
        </w:rPr>
        <w:t>(</w:t>
      </w:r>
      <w:proofErr w:type="spellStart"/>
      <w:r w:rsidRPr="00222DB2">
        <w:rPr>
          <w:i/>
          <w:iCs/>
          <w:lang w:val="uk-UA"/>
        </w:rPr>
        <w:t>see</w:t>
      </w:r>
      <w:proofErr w:type="spellEnd"/>
      <w:r w:rsidRPr="00222DB2">
        <w:rPr>
          <w:i/>
          <w:iCs/>
          <w:lang w:val="uk-UA"/>
        </w:rPr>
        <w:t xml:space="preserve"> «A. and B. v. Croatia», № 7144/15, № 92)</w:t>
      </w:r>
      <w:r w:rsidRPr="00222DB2">
        <w:rPr>
          <w:rFonts w:eastAsia="Times New Roman"/>
          <w:i/>
          <w:iCs/>
          <w:lang w:val="uk-UA"/>
        </w:rPr>
        <w:t>.</w:t>
      </w:r>
      <w:r w:rsidRPr="00222DB2">
        <w:rPr>
          <w:rFonts w:eastAsia="Times New Roman"/>
          <w:lang w:val="uk-UA"/>
        </w:rPr>
        <w:t xml:space="preserve"> У цій справі заяви заявниці були достатньо серйозними, щоб виправдати кримінальне розслідування, ефективність якого є об’єктом її скарги до цього суду. Той факт, що передбачувані сексуальні зловживання були розглянуті також цивільними </w:t>
      </w:r>
      <w:r w:rsidRPr="00222DB2">
        <w:rPr>
          <w:rFonts w:eastAsia="Times New Roman"/>
          <w:lang w:val="uk-UA"/>
        </w:rPr>
        <w:lastRenderedPageBreak/>
        <w:t xml:space="preserve">судами </w:t>
      </w:r>
      <w:r w:rsidR="00B115FD" w:rsidRPr="00222DB2">
        <w:rPr>
          <w:rFonts w:eastAsia="Times New Roman"/>
          <w:lang w:val="uk-UA"/>
        </w:rPr>
        <w:t>у</w:t>
      </w:r>
      <w:r w:rsidRPr="00222DB2">
        <w:rPr>
          <w:rFonts w:eastAsia="Times New Roman"/>
          <w:lang w:val="uk-UA"/>
        </w:rPr>
        <w:t xml:space="preserve"> контексті провадження під вартою та контактами, не усуває позитивного зобов’язання держави застосовувати положення кримінального законодавства шляхом проведення ефективного розслідування. З цього випливає, що заперечення Уряду, сформульоване як відсутність статусу жертви, необхідно відхилити </w:t>
      </w:r>
      <w:r w:rsidRPr="00222DB2">
        <w:rPr>
          <w:i/>
          <w:iCs/>
          <w:lang w:val="uk-UA"/>
        </w:rPr>
        <w:t>(</w:t>
      </w:r>
      <w:proofErr w:type="spellStart"/>
      <w:r w:rsidRPr="00222DB2">
        <w:rPr>
          <w:i/>
          <w:iCs/>
          <w:lang w:val="uk-UA"/>
        </w:rPr>
        <w:t>see</w:t>
      </w:r>
      <w:proofErr w:type="spellEnd"/>
      <w:r w:rsidRPr="00222DB2">
        <w:rPr>
          <w:i/>
          <w:iCs/>
          <w:lang w:val="uk-UA"/>
        </w:rPr>
        <w:t xml:space="preserve"> </w:t>
      </w:r>
      <w:proofErr w:type="spellStart"/>
      <w:r w:rsidRPr="00222DB2">
        <w:rPr>
          <w:i/>
          <w:iCs/>
          <w:lang w:val="uk-UA"/>
        </w:rPr>
        <w:t>also</w:t>
      </w:r>
      <w:proofErr w:type="spellEnd"/>
      <w:r w:rsidRPr="00222DB2">
        <w:rPr>
          <w:i/>
          <w:iCs/>
          <w:lang w:val="uk-UA"/>
        </w:rPr>
        <w:t xml:space="preserve"> «A., B. and C. v. Latvia», № 30808/11, п.п. 163-164)</w:t>
      </w:r>
      <w:r w:rsidRPr="00222DB2">
        <w:rPr>
          <w:lang w:val="uk-UA"/>
        </w:rPr>
        <w:t xml:space="preserve"> (п. 61).</w:t>
      </w:r>
    </w:p>
    <w:p w14:paraId="454B2CFA" w14:textId="00A78D2B" w:rsidR="00476574" w:rsidRPr="00222DB2" w:rsidRDefault="00476574" w:rsidP="00476574">
      <w:pPr>
        <w:pStyle w:val="JuPara"/>
        <w:ind w:firstLine="0"/>
        <w:rPr>
          <w:rFonts w:eastAsia="Times New Roman"/>
          <w:lang w:val="uk-UA"/>
        </w:rPr>
      </w:pPr>
    </w:p>
    <w:p w14:paraId="0A1672F4" w14:textId="77777777" w:rsidR="00476574" w:rsidRPr="00222DB2" w:rsidRDefault="00476574" w:rsidP="00476574">
      <w:pPr>
        <w:pStyle w:val="JuPara"/>
        <w:ind w:firstLine="0"/>
        <w:rPr>
          <w:rFonts w:eastAsia="Times New Roman"/>
          <w:i/>
          <w:iCs/>
          <w:lang w:val="uk-UA"/>
        </w:rPr>
      </w:pPr>
      <w:r w:rsidRPr="00222DB2">
        <w:rPr>
          <w:rFonts w:eastAsia="Times New Roman"/>
          <w:i/>
          <w:iCs/>
          <w:lang w:val="uk-UA"/>
        </w:rPr>
        <w:t>Невичерпання національних засобів правового захисту</w:t>
      </w:r>
    </w:p>
    <w:p w14:paraId="2631ADD2" w14:textId="77777777" w:rsidR="00476574" w:rsidRPr="00222DB2" w:rsidRDefault="00476574" w:rsidP="00476574">
      <w:pPr>
        <w:pStyle w:val="JuPara"/>
        <w:ind w:firstLine="0"/>
        <w:rPr>
          <w:rFonts w:eastAsia="Times New Roman"/>
          <w:lang w:val="uk-UA"/>
        </w:rPr>
      </w:pPr>
    </w:p>
    <w:p w14:paraId="36DF5F26" w14:textId="2257A6D4" w:rsidR="00476574" w:rsidRPr="00222DB2" w:rsidRDefault="00476574" w:rsidP="00476574">
      <w:pPr>
        <w:pStyle w:val="JuPara"/>
        <w:ind w:firstLine="0"/>
        <w:rPr>
          <w:rFonts w:eastAsia="Times New Roman"/>
          <w:lang w:val="uk-UA"/>
        </w:rPr>
      </w:pPr>
      <w:r w:rsidRPr="00222DB2">
        <w:rPr>
          <w:rFonts w:eastAsia="Times New Roman"/>
          <w:lang w:val="uk-UA"/>
        </w:rPr>
        <w:t xml:space="preserve">Уряд стверджував, що заявник не вичерпав усіх наявних національних засобів правового захисту. Зокрема, </w:t>
      </w:r>
      <w:r w:rsidR="00335F4B" w:rsidRPr="00222DB2">
        <w:rPr>
          <w:rFonts w:eastAsia="Times New Roman"/>
          <w:lang w:val="uk-UA"/>
        </w:rPr>
        <w:t>заявниця</w:t>
      </w:r>
      <w:r w:rsidRPr="00222DB2">
        <w:rPr>
          <w:rFonts w:eastAsia="Times New Roman"/>
          <w:lang w:val="uk-UA"/>
        </w:rPr>
        <w:t xml:space="preserve"> мала право подати до держави позов про відшкодування збитків відповідно до Закону про відшкодування шкоди, </w:t>
      </w:r>
      <w:r w:rsidR="00335F4B" w:rsidRPr="00222DB2">
        <w:rPr>
          <w:rFonts w:eastAsia="Times New Roman"/>
          <w:lang w:val="uk-UA"/>
        </w:rPr>
        <w:t>завданої</w:t>
      </w:r>
      <w:r w:rsidRPr="00222DB2">
        <w:rPr>
          <w:rFonts w:eastAsia="Times New Roman"/>
          <w:lang w:val="uk-UA"/>
        </w:rPr>
        <w:t xml:space="preserve"> у кримінальному провадженні </w:t>
      </w:r>
      <w:r w:rsidRPr="00222DB2">
        <w:rPr>
          <w:rFonts w:eastAsia="Times New Roman"/>
          <w:i/>
          <w:iCs/>
          <w:lang w:val="uk-UA"/>
        </w:rPr>
        <w:t xml:space="preserve">(п. 39). </w:t>
      </w:r>
      <w:r w:rsidRPr="00222DB2">
        <w:rPr>
          <w:rFonts w:eastAsia="Times New Roman"/>
          <w:lang w:val="uk-UA"/>
        </w:rPr>
        <w:t xml:space="preserve">Відповідно до </w:t>
      </w:r>
      <w:r w:rsidR="00B115FD" w:rsidRPr="00222DB2">
        <w:rPr>
          <w:rFonts w:eastAsia="Times New Roman"/>
          <w:lang w:val="uk-UA"/>
        </w:rPr>
        <w:t>ст.</w:t>
      </w:r>
      <w:r w:rsidRPr="00222DB2">
        <w:rPr>
          <w:rFonts w:eastAsia="Times New Roman"/>
          <w:lang w:val="uk-UA"/>
        </w:rPr>
        <w:t xml:space="preserve"> 7 </w:t>
      </w:r>
      <w:r w:rsidR="00B115FD" w:rsidRPr="00222DB2">
        <w:rPr>
          <w:rFonts w:eastAsia="Times New Roman"/>
          <w:lang w:val="uk-UA"/>
        </w:rPr>
        <w:t>і</w:t>
      </w:r>
      <w:r w:rsidRPr="00222DB2">
        <w:rPr>
          <w:rFonts w:eastAsia="Times New Roman"/>
          <w:lang w:val="uk-UA"/>
        </w:rPr>
        <w:t xml:space="preserve"> </w:t>
      </w:r>
      <w:r w:rsidR="00B115FD" w:rsidRPr="00222DB2">
        <w:rPr>
          <w:rFonts w:eastAsia="Times New Roman"/>
          <w:lang w:val="uk-UA"/>
        </w:rPr>
        <w:t xml:space="preserve">ст. </w:t>
      </w:r>
      <w:r w:rsidRPr="00222DB2">
        <w:rPr>
          <w:rFonts w:eastAsia="Times New Roman"/>
          <w:lang w:val="uk-UA"/>
        </w:rPr>
        <w:t>11(2), особа, якій було завдано шкоди внаслідок порушення процесуального законодавства, мала право на відшкодування моральної шкоди, завданої в певних ситуаціях, у тому числі, коли особу катували або піддавали нелюдськ</w:t>
      </w:r>
      <w:r w:rsidR="00B115FD" w:rsidRPr="00222DB2">
        <w:rPr>
          <w:rFonts w:eastAsia="Times New Roman"/>
          <w:lang w:val="uk-UA"/>
        </w:rPr>
        <w:t>ому</w:t>
      </w:r>
      <w:r w:rsidRPr="00222DB2">
        <w:rPr>
          <w:rFonts w:eastAsia="Times New Roman"/>
          <w:lang w:val="uk-UA"/>
        </w:rPr>
        <w:t xml:space="preserve"> чи принизливо</w:t>
      </w:r>
      <w:r w:rsidR="00B115FD" w:rsidRPr="00222DB2">
        <w:rPr>
          <w:rFonts w:eastAsia="Times New Roman"/>
          <w:lang w:val="uk-UA"/>
        </w:rPr>
        <w:t>му</w:t>
      </w:r>
      <w:r w:rsidRPr="00222DB2">
        <w:rPr>
          <w:rFonts w:eastAsia="Times New Roman"/>
          <w:lang w:val="uk-UA"/>
        </w:rPr>
        <w:t xml:space="preserve"> поводженн</w:t>
      </w:r>
      <w:r w:rsidR="00B115FD" w:rsidRPr="00222DB2">
        <w:rPr>
          <w:rFonts w:eastAsia="Times New Roman"/>
          <w:lang w:val="uk-UA"/>
        </w:rPr>
        <w:t>ю</w:t>
      </w:r>
      <w:r w:rsidRPr="00222DB2">
        <w:rPr>
          <w:rFonts w:eastAsia="Times New Roman"/>
          <w:lang w:val="uk-UA"/>
        </w:rPr>
        <w:t xml:space="preserve"> або коли було порушено повагу до </w:t>
      </w:r>
      <w:r w:rsidR="00B115FD" w:rsidRPr="00222DB2">
        <w:rPr>
          <w:rFonts w:eastAsia="Times New Roman"/>
          <w:lang w:val="uk-UA"/>
        </w:rPr>
        <w:t>її</w:t>
      </w:r>
      <w:r w:rsidRPr="00222DB2">
        <w:rPr>
          <w:rFonts w:eastAsia="Times New Roman"/>
          <w:lang w:val="uk-UA"/>
        </w:rPr>
        <w:t xml:space="preserve"> особистого життя. Уряд наводив випадки, коли національні суди присуджували компенсацію у зв’язку з незаконною діяльністю з </w:t>
      </w:r>
      <w:r w:rsidR="00335F4B" w:rsidRPr="00222DB2">
        <w:rPr>
          <w:rFonts w:eastAsia="Times New Roman"/>
          <w:lang w:val="uk-UA"/>
        </w:rPr>
        <w:t>проведенням оперативно-розшукових</w:t>
      </w:r>
      <w:r w:rsidRPr="00222DB2">
        <w:rPr>
          <w:rFonts w:eastAsia="Times New Roman"/>
          <w:lang w:val="uk-UA"/>
        </w:rPr>
        <w:t xml:space="preserve"> та незаконним попереднім ув’язненням </w:t>
      </w:r>
      <w:r w:rsidRPr="00222DB2">
        <w:rPr>
          <w:rFonts w:eastAsia="Times New Roman"/>
          <w:i/>
          <w:iCs/>
          <w:lang w:val="uk-UA"/>
        </w:rPr>
        <w:t>(п.п. 45-46).</w:t>
      </w:r>
      <w:r w:rsidRPr="00222DB2">
        <w:rPr>
          <w:rFonts w:eastAsia="Times New Roman"/>
          <w:lang w:val="uk-UA"/>
        </w:rPr>
        <w:t xml:space="preserve"> Незважаючи на те, що не було випадків, коли порушення кримінально-процесуальної процедури суперечило позитивним зобов'язанням держави відповідно до ст. 3 і ст. 8 Конвенції, судова практика все ще розвивалася, і національні суди повинні були враховувати принципи Конвенції. Крім того, якщо заявниця вважає, що законодавство є занадто обмежувальним або містить прогалини, вона може базувати свій позов про компенсацію безпосередньо на ст. 25 Конституції </w:t>
      </w:r>
      <w:r w:rsidRPr="00222DB2">
        <w:rPr>
          <w:rFonts w:eastAsia="Times New Roman"/>
          <w:i/>
          <w:iCs/>
          <w:lang w:val="uk-UA"/>
        </w:rPr>
        <w:t>(п. 35).</w:t>
      </w:r>
      <w:r w:rsidRPr="00222DB2">
        <w:rPr>
          <w:rFonts w:eastAsia="Times New Roman"/>
          <w:lang w:val="uk-UA"/>
        </w:rPr>
        <w:t xml:space="preserve"> На </w:t>
      </w:r>
      <w:r w:rsidR="00B115FD" w:rsidRPr="00222DB2">
        <w:rPr>
          <w:rFonts w:eastAsia="Times New Roman"/>
          <w:lang w:val="uk-UA"/>
        </w:rPr>
        <w:t>додаток</w:t>
      </w:r>
      <w:r w:rsidRPr="00222DB2">
        <w:rPr>
          <w:rFonts w:eastAsia="Times New Roman"/>
          <w:lang w:val="uk-UA"/>
        </w:rPr>
        <w:t xml:space="preserve"> Уряд вважає, що заявниця мала б надати владі можливість оцінити </w:t>
      </w:r>
      <w:r w:rsidR="00B115FD" w:rsidRPr="00222DB2">
        <w:rPr>
          <w:rFonts w:eastAsia="Times New Roman"/>
          <w:lang w:val="uk-UA"/>
        </w:rPr>
        <w:t>стверджуване</w:t>
      </w:r>
      <w:r w:rsidRPr="00222DB2">
        <w:rPr>
          <w:rFonts w:eastAsia="Times New Roman"/>
          <w:lang w:val="uk-UA"/>
        </w:rPr>
        <w:t xml:space="preserve"> порушення її </w:t>
      </w:r>
      <w:r w:rsidR="00B115FD" w:rsidRPr="00222DB2">
        <w:rPr>
          <w:rFonts w:eastAsia="Times New Roman"/>
          <w:lang w:val="uk-UA"/>
        </w:rPr>
        <w:t xml:space="preserve">конвенційних </w:t>
      </w:r>
      <w:r w:rsidRPr="00222DB2">
        <w:rPr>
          <w:rFonts w:eastAsia="Times New Roman"/>
          <w:lang w:val="uk-UA"/>
        </w:rPr>
        <w:t>прав, подавши позов про компенсацію (п. 62).</w:t>
      </w:r>
    </w:p>
    <w:p w14:paraId="516B5470" w14:textId="77777777" w:rsidR="00335F4B" w:rsidRPr="00222DB2" w:rsidRDefault="00335F4B" w:rsidP="00335F4B">
      <w:pPr>
        <w:pStyle w:val="JuPara"/>
        <w:ind w:firstLine="0"/>
        <w:rPr>
          <w:rFonts w:eastAsia="Times New Roman"/>
          <w:lang w:val="uk-UA"/>
        </w:rPr>
      </w:pPr>
    </w:p>
    <w:p w14:paraId="54C4AA79" w14:textId="1BEF3082" w:rsidR="00335F4B" w:rsidRPr="00222DB2" w:rsidRDefault="00335F4B" w:rsidP="00335F4B">
      <w:pPr>
        <w:pStyle w:val="JuPara"/>
        <w:ind w:firstLine="0"/>
        <w:rPr>
          <w:lang w:val="uk-UA"/>
        </w:rPr>
      </w:pPr>
      <w:r w:rsidRPr="00222DB2">
        <w:rPr>
          <w:lang w:val="uk-UA"/>
        </w:rPr>
        <w:t xml:space="preserve">Заявниця стверджувала, що після остаточного рішення Верховного </w:t>
      </w:r>
      <w:r w:rsidR="00B115FD" w:rsidRPr="00222DB2">
        <w:rPr>
          <w:lang w:val="uk-UA"/>
        </w:rPr>
        <w:t>С</w:t>
      </w:r>
      <w:r w:rsidRPr="00222DB2">
        <w:rPr>
          <w:lang w:val="uk-UA"/>
        </w:rPr>
        <w:t>уду у кримінальній справі у неї не було інших шляхів відшкодування (п. 63).</w:t>
      </w:r>
    </w:p>
    <w:p w14:paraId="1DAFD225" w14:textId="7D1D8923" w:rsidR="00335F4B" w:rsidRPr="00222DB2" w:rsidRDefault="00335F4B" w:rsidP="00335F4B">
      <w:pPr>
        <w:pStyle w:val="JuPara"/>
        <w:ind w:firstLine="0"/>
        <w:rPr>
          <w:lang w:val="uk-UA"/>
        </w:rPr>
      </w:pPr>
    </w:p>
    <w:p w14:paraId="50EF267D" w14:textId="118D4B67" w:rsidR="00335F4B" w:rsidRPr="00222DB2" w:rsidRDefault="00335F4B" w:rsidP="00335F4B">
      <w:pPr>
        <w:pStyle w:val="JuPara"/>
        <w:ind w:firstLine="0"/>
        <w:rPr>
          <w:lang w:val="uk-UA"/>
        </w:rPr>
      </w:pPr>
      <w:r w:rsidRPr="00222DB2">
        <w:rPr>
          <w:lang w:val="uk-UA"/>
        </w:rPr>
        <w:t xml:space="preserve">Суд повторює, що обов’язок вичерпати національні засоби правового захисту вимагає від заявників нормального використання засобів правового захисту, які є доступними та достатніми щодо їх скарг на порушення Конвенції. Існування відповідних засобів правового захисту повинно бути достатньо </w:t>
      </w:r>
      <w:r w:rsidR="00B115FD" w:rsidRPr="00222DB2">
        <w:rPr>
          <w:lang w:val="uk-UA"/>
        </w:rPr>
        <w:t>реальним</w:t>
      </w:r>
      <w:r w:rsidRPr="00222DB2">
        <w:rPr>
          <w:lang w:val="uk-UA"/>
        </w:rPr>
        <w:t xml:space="preserve"> не тільки теоретично, але й на практиці, в протилежному випадку вони не матимуть необхідної доступності та ефективності. Щоб бути ефективним, засіб правового захисту повинен бути здатний безпосередньо виправити оскаржуваний стан речей і повинен пропонувати розумні перспективи успіху. Однак немає жодного зобов’язання звертатися до засобів, які є неадекватними або неефективними </w:t>
      </w:r>
      <w:r w:rsidRPr="00222DB2">
        <w:rPr>
          <w:i/>
          <w:iCs/>
          <w:lang w:val="uk-UA"/>
        </w:rPr>
        <w:t>(</w:t>
      </w:r>
      <w:proofErr w:type="spellStart"/>
      <w:r w:rsidRPr="00222DB2">
        <w:rPr>
          <w:i/>
          <w:iCs/>
          <w:lang w:val="uk-UA"/>
        </w:rPr>
        <w:t>see</w:t>
      </w:r>
      <w:proofErr w:type="spellEnd"/>
      <w:r w:rsidRPr="00222DB2">
        <w:rPr>
          <w:i/>
          <w:iCs/>
          <w:lang w:val="uk-UA"/>
        </w:rPr>
        <w:t xml:space="preserve"> «</w:t>
      </w:r>
      <w:proofErr w:type="spellStart"/>
      <w:r w:rsidRPr="00222DB2">
        <w:rPr>
          <w:i/>
          <w:iCs/>
          <w:lang w:val="uk-UA"/>
        </w:rPr>
        <w:t>Gherghina</w:t>
      </w:r>
      <w:proofErr w:type="spellEnd"/>
      <w:r w:rsidRPr="00222DB2">
        <w:rPr>
          <w:i/>
          <w:iCs/>
          <w:lang w:val="uk-UA"/>
        </w:rPr>
        <w:t xml:space="preserve"> v. Romania» [GC] (</w:t>
      </w:r>
      <w:proofErr w:type="spellStart"/>
      <w:r w:rsidRPr="00222DB2">
        <w:rPr>
          <w:i/>
          <w:iCs/>
          <w:lang w:val="uk-UA"/>
        </w:rPr>
        <w:t>dec</w:t>
      </w:r>
      <w:proofErr w:type="spellEnd"/>
      <w:r w:rsidRPr="00222DB2">
        <w:rPr>
          <w:i/>
          <w:iCs/>
          <w:lang w:val="uk-UA"/>
        </w:rPr>
        <w:t xml:space="preserve">.), № 42219/07, </w:t>
      </w:r>
      <w:r w:rsidRPr="00222DB2">
        <w:rPr>
          <w:rFonts w:cstheme="minorHAnsi"/>
          <w:i/>
          <w:iCs/>
          <w:lang w:val="uk-UA"/>
        </w:rPr>
        <w:t>п.п.</w:t>
      </w:r>
      <w:r w:rsidRPr="00222DB2">
        <w:rPr>
          <w:i/>
          <w:iCs/>
          <w:lang w:val="uk-UA"/>
        </w:rPr>
        <w:t xml:space="preserve"> 85-86, and the </w:t>
      </w:r>
      <w:proofErr w:type="spellStart"/>
      <w:r w:rsidRPr="00222DB2">
        <w:rPr>
          <w:i/>
          <w:iCs/>
          <w:lang w:val="uk-UA"/>
        </w:rPr>
        <w:t>references</w:t>
      </w:r>
      <w:proofErr w:type="spellEnd"/>
      <w:r w:rsidRPr="00222DB2">
        <w:rPr>
          <w:i/>
          <w:iCs/>
          <w:lang w:val="uk-UA"/>
        </w:rPr>
        <w:t xml:space="preserve"> </w:t>
      </w:r>
      <w:proofErr w:type="spellStart"/>
      <w:r w:rsidRPr="00222DB2">
        <w:rPr>
          <w:i/>
          <w:iCs/>
          <w:lang w:val="uk-UA"/>
        </w:rPr>
        <w:t>therein</w:t>
      </w:r>
      <w:proofErr w:type="spellEnd"/>
      <w:r w:rsidRPr="00222DB2">
        <w:rPr>
          <w:i/>
          <w:iCs/>
          <w:lang w:val="uk-UA"/>
        </w:rPr>
        <w:t>)</w:t>
      </w:r>
      <w:r w:rsidRPr="00222DB2">
        <w:rPr>
          <w:lang w:val="uk-UA"/>
        </w:rPr>
        <w:t xml:space="preserve"> (п. 64).</w:t>
      </w:r>
    </w:p>
    <w:p w14:paraId="0E429F27" w14:textId="2CE057DD" w:rsidR="00335F4B" w:rsidRPr="00222DB2" w:rsidRDefault="00335F4B" w:rsidP="00335F4B">
      <w:pPr>
        <w:pStyle w:val="JuPara"/>
        <w:ind w:firstLine="0"/>
        <w:rPr>
          <w:lang w:val="uk-UA"/>
        </w:rPr>
      </w:pPr>
    </w:p>
    <w:p w14:paraId="63A53C6C" w14:textId="18D514E0" w:rsidR="00045A1D" w:rsidRPr="00222DB2" w:rsidRDefault="00335F4B" w:rsidP="00335F4B">
      <w:pPr>
        <w:pStyle w:val="JuPara"/>
        <w:ind w:firstLine="0"/>
        <w:rPr>
          <w:lang w:val="uk-UA"/>
        </w:rPr>
      </w:pPr>
      <w:r w:rsidRPr="00222DB2">
        <w:rPr>
          <w:lang w:val="uk-UA"/>
        </w:rPr>
        <w:t>Переходячи до цієї справи, Суд зазначає, що кримінальне провадження щодо стверджуваного сексуального насильства заявника завершилося остаточним рішенням Верховного Суду. Таким чином, заявниця в повній мірі використ</w:t>
      </w:r>
      <w:r w:rsidR="0003030B">
        <w:rPr>
          <w:lang w:val="uk-UA"/>
        </w:rPr>
        <w:t>а</w:t>
      </w:r>
      <w:r w:rsidRPr="00222DB2">
        <w:rPr>
          <w:lang w:val="uk-UA"/>
        </w:rPr>
        <w:t xml:space="preserve">ла доступні їй кримінально-правові засоби, перш ніж звернутися до </w:t>
      </w:r>
      <w:r w:rsidR="006B00BB" w:rsidRPr="00222DB2">
        <w:rPr>
          <w:lang w:val="uk-UA"/>
        </w:rPr>
        <w:t>ЄСПЛ</w:t>
      </w:r>
      <w:r w:rsidR="00045A1D" w:rsidRPr="00222DB2">
        <w:rPr>
          <w:lang w:val="uk-UA"/>
        </w:rPr>
        <w:t xml:space="preserve"> (п. 65).</w:t>
      </w:r>
    </w:p>
    <w:p w14:paraId="42D481BF" w14:textId="77777777" w:rsidR="00045A1D" w:rsidRPr="00222DB2" w:rsidRDefault="00045A1D" w:rsidP="00335F4B">
      <w:pPr>
        <w:pStyle w:val="JuPara"/>
        <w:ind w:firstLine="0"/>
        <w:rPr>
          <w:lang w:val="uk-UA"/>
        </w:rPr>
      </w:pPr>
    </w:p>
    <w:p w14:paraId="57D0DB32" w14:textId="77777777" w:rsidR="00045A1D" w:rsidRPr="00222DB2" w:rsidRDefault="006B00BB" w:rsidP="00335F4B">
      <w:pPr>
        <w:pStyle w:val="JuPara"/>
        <w:ind w:firstLine="0"/>
        <w:rPr>
          <w:lang w:val="uk-UA"/>
        </w:rPr>
      </w:pPr>
      <w:r w:rsidRPr="00222DB2">
        <w:rPr>
          <w:lang w:val="uk-UA"/>
        </w:rPr>
        <w:t>ЄСПЛ</w:t>
      </w:r>
      <w:r w:rsidR="00335F4B" w:rsidRPr="00222DB2">
        <w:rPr>
          <w:lang w:val="uk-UA"/>
        </w:rPr>
        <w:t xml:space="preserve"> зазначає, що цивільний засіб захисту, на який посилається Уряд, міг би призвести лише до виплати збитків державою, а не до ідентифікації та покарання, якщо це </w:t>
      </w:r>
      <w:r w:rsidRPr="00222DB2">
        <w:rPr>
          <w:lang w:val="uk-UA"/>
        </w:rPr>
        <w:t>було потрібно</w:t>
      </w:r>
      <w:r w:rsidR="00335F4B" w:rsidRPr="00222DB2">
        <w:rPr>
          <w:lang w:val="uk-UA"/>
        </w:rPr>
        <w:t>, злочинця, чого можна було досягти лише в рамках кримінального провадження</w:t>
      </w:r>
      <w:r w:rsidR="00045A1D" w:rsidRPr="00222DB2">
        <w:rPr>
          <w:lang w:val="uk-UA"/>
        </w:rPr>
        <w:t xml:space="preserve"> (п. 65).</w:t>
      </w:r>
    </w:p>
    <w:p w14:paraId="0003A4DA" w14:textId="77777777" w:rsidR="00045A1D" w:rsidRPr="00222DB2" w:rsidRDefault="00045A1D" w:rsidP="00335F4B">
      <w:pPr>
        <w:pStyle w:val="JuPara"/>
        <w:ind w:firstLine="0"/>
        <w:rPr>
          <w:lang w:val="uk-UA"/>
        </w:rPr>
      </w:pPr>
    </w:p>
    <w:p w14:paraId="2803D218" w14:textId="1D6F0FCD" w:rsidR="00335F4B" w:rsidRPr="00222DB2" w:rsidRDefault="00335F4B" w:rsidP="00335F4B">
      <w:pPr>
        <w:pStyle w:val="JuPara"/>
        <w:ind w:firstLine="0"/>
        <w:rPr>
          <w:lang w:val="uk-UA"/>
        </w:rPr>
      </w:pPr>
      <w:r w:rsidRPr="00222DB2">
        <w:rPr>
          <w:lang w:val="uk-UA"/>
        </w:rPr>
        <w:t>Згідно з усталеною прецедентною практикою Суду, компенсаційний засіб не може вважатися достатнім для виконання зобов'язань держави відповідно до ст</w:t>
      </w:r>
      <w:r w:rsidR="00045A1D" w:rsidRPr="00222DB2">
        <w:rPr>
          <w:lang w:val="uk-UA"/>
        </w:rPr>
        <w:t>.</w:t>
      </w:r>
      <w:r w:rsidRPr="00222DB2">
        <w:rPr>
          <w:lang w:val="uk-UA"/>
        </w:rPr>
        <w:t xml:space="preserve"> 3 </w:t>
      </w:r>
      <w:r w:rsidR="00045A1D" w:rsidRPr="00222DB2">
        <w:rPr>
          <w:lang w:val="uk-UA"/>
        </w:rPr>
        <w:t>і</w:t>
      </w:r>
      <w:r w:rsidRPr="00222DB2">
        <w:rPr>
          <w:lang w:val="uk-UA"/>
        </w:rPr>
        <w:t xml:space="preserve"> </w:t>
      </w:r>
      <w:r w:rsidR="00045A1D" w:rsidRPr="00222DB2">
        <w:rPr>
          <w:lang w:val="uk-UA"/>
        </w:rPr>
        <w:t xml:space="preserve">ст. </w:t>
      </w:r>
      <w:r w:rsidRPr="00222DB2">
        <w:rPr>
          <w:lang w:val="uk-UA"/>
        </w:rPr>
        <w:t xml:space="preserve">8 Конвенції щодо забезпечення ефективного захисту від серйозних нападів на фізичну недоторканність особи у таких випадках, як </w:t>
      </w:r>
      <w:r w:rsidR="006B00BB" w:rsidRPr="00222DB2">
        <w:rPr>
          <w:lang w:val="uk-UA"/>
        </w:rPr>
        <w:t>приклад заявниці</w:t>
      </w:r>
      <w:r w:rsidRPr="00222DB2">
        <w:rPr>
          <w:lang w:val="uk-UA"/>
        </w:rPr>
        <w:t xml:space="preserve">  </w:t>
      </w:r>
      <w:r w:rsidRPr="00222DB2">
        <w:rPr>
          <w:i/>
          <w:iCs/>
          <w:lang w:val="uk-UA"/>
        </w:rPr>
        <w:t>(</w:t>
      </w:r>
      <w:proofErr w:type="spellStart"/>
      <w:r w:rsidRPr="00222DB2">
        <w:rPr>
          <w:i/>
          <w:iCs/>
          <w:lang w:val="uk-UA"/>
        </w:rPr>
        <w:t>see</w:t>
      </w:r>
      <w:proofErr w:type="spellEnd"/>
      <w:r w:rsidRPr="00222DB2">
        <w:rPr>
          <w:i/>
          <w:iCs/>
          <w:lang w:val="uk-UA"/>
        </w:rPr>
        <w:t xml:space="preserve">, for </w:t>
      </w:r>
      <w:proofErr w:type="spellStart"/>
      <w:r w:rsidRPr="00222DB2">
        <w:rPr>
          <w:i/>
          <w:iCs/>
          <w:lang w:val="uk-UA"/>
        </w:rPr>
        <w:t>example</w:t>
      </w:r>
      <w:proofErr w:type="spellEnd"/>
      <w:r w:rsidRPr="00222DB2">
        <w:rPr>
          <w:i/>
          <w:iCs/>
          <w:lang w:val="uk-UA"/>
        </w:rPr>
        <w:t>, «</w:t>
      </w:r>
      <w:proofErr w:type="spellStart"/>
      <w:r w:rsidRPr="00222DB2">
        <w:rPr>
          <w:i/>
          <w:iCs/>
          <w:lang w:val="uk-UA"/>
        </w:rPr>
        <w:t>Remetin</w:t>
      </w:r>
      <w:proofErr w:type="spellEnd"/>
      <w:r w:rsidRPr="00222DB2">
        <w:rPr>
          <w:i/>
          <w:iCs/>
          <w:lang w:val="uk-UA"/>
        </w:rPr>
        <w:t xml:space="preserve"> v. Croatia», № 29525/10, п. 76; «</w:t>
      </w:r>
      <w:proofErr w:type="spellStart"/>
      <w:r w:rsidRPr="00222DB2">
        <w:rPr>
          <w:i/>
          <w:iCs/>
          <w:lang w:val="uk-UA"/>
        </w:rPr>
        <w:t>Pulfer</w:t>
      </w:r>
      <w:proofErr w:type="spellEnd"/>
      <w:r w:rsidRPr="00222DB2">
        <w:rPr>
          <w:i/>
          <w:iCs/>
          <w:lang w:val="uk-UA"/>
        </w:rPr>
        <w:t xml:space="preserve"> v. </w:t>
      </w:r>
      <w:proofErr w:type="spellStart"/>
      <w:r w:rsidRPr="00222DB2">
        <w:rPr>
          <w:i/>
          <w:iCs/>
          <w:lang w:val="uk-UA"/>
        </w:rPr>
        <w:t>Albania</w:t>
      </w:r>
      <w:proofErr w:type="spellEnd"/>
      <w:r w:rsidRPr="00222DB2">
        <w:rPr>
          <w:i/>
          <w:iCs/>
          <w:lang w:val="uk-UA"/>
        </w:rPr>
        <w:t xml:space="preserve">», № 31959/13, </w:t>
      </w:r>
      <w:r w:rsidRPr="00222DB2">
        <w:rPr>
          <w:rFonts w:cstheme="minorHAnsi"/>
          <w:i/>
          <w:iCs/>
          <w:lang w:val="uk-UA"/>
        </w:rPr>
        <w:t>п.</w:t>
      </w:r>
      <w:r w:rsidRPr="00222DB2">
        <w:rPr>
          <w:i/>
          <w:iCs/>
          <w:lang w:val="uk-UA"/>
        </w:rPr>
        <w:t xml:space="preserve"> 71). </w:t>
      </w:r>
      <w:r w:rsidRPr="00222DB2">
        <w:rPr>
          <w:lang w:val="uk-UA"/>
        </w:rPr>
        <w:t xml:space="preserve">Таким чином, </w:t>
      </w:r>
      <w:r w:rsidR="00045A1D" w:rsidRPr="00222DB2">
        <w:rPr>
          <w:lang w:val="uk-UA"/>
        </w:rPr>
        <w:t>ЄСПЛ</w:t>
      </w:r>
      <w:r w:rsidRPr="00222DB2">
        <w:rPr>
          <w:lang w:val="uk-UA"/>
        </w:rPr>
        <w:t xml:space="preserve"> вважає, що після завершення кримінального провадження, яке стало належним засобом відшкодування скарг заявниці про сексуальне насильство, від неї не </w:t>
      </w:r>
      <w:r w:rsidR="00045A1D" w:rsidRPr="00222DB2">
        <w:rPr>
          <w:lang w:val="uk-UA"/>
        </w:rPr>
        <w:t xml:space="preserve">можна </w:t>
      </w:r>
      <w:r w:rsidRPr="00222DB2">
        <w:rPr>
          <w:lang w:val="uk-UA"/>
        </w:rPr>
        <w:t>було вимага</w:t>
      </w:r>
      <w:r w:rsidR="00045A1D" w:rsidRPr="00222DB2">
        <w:rPr>
          <w:lang w:val="uk-UA"/>
        </w:rPr>
        <w:t>ти</w:t>
      </w:r>
      <w:r w:rsidRPr="00222DB2">
        <w:rPr>
          <w:lang w:val="uk-UA"/>
        </w:rPr>
        <w:t xml:space="preserve"> надалі вдаватися до компенсаційного </w:t>
      </w:r>
      <w:r w:rsidR="00045A1D" w:rsidRPr="00222DB2">
        <w:rPr>
          <w:lang w:val="uk-UA"/>
        </w:rPr>
        <w:t xml:space="preserve">національного </w:t>
      </w:r>
      <w:r w:rsidRPr="00222DB2">
        <w:rPr>
          <w:lang w:val="uk-UA"/>
        </w:rPr>
        <w:t xml:space="preserve">засобу, </w:t>
      </w:r>
      <w:r w:rsidR="00045A1D" w:rsidRPr="00222DB2">
        <w:rPr>
          <w:lang w:val="uk-UA"/>
        </w:rPr>
        <w:t>адже</w:t>
      </w:r>
      <w:r w:rsidRPr="00222DB2">
        <w:rPr>
          <w:lang w:val="uk-UA"/>
        </w:rPr>
        <w:t xml:space="preserve"> це </w:t>
      </w:r>
      <w:r w:rsidR="00045A1D" w:rsidRPr="00222DB2">
        <w:rPr>
          <w:lang w:val="uk-UA"/>
        </w:rPr>
        <w:t>у</w:t>
      </w:r>
      <w:r w:rsidRPr="00222DB2">
        <w:rPr>
          <w:lang w:val="uk-UA"/>
        </w:rPr>
        <w:t xml:space="preserve"> будь-якому випадку не </w:t>
      </w:r>
      <w:r w:rsidR="00045A1D" w:rsidRPr="00222DB2">
        <w:rPr>
          <w:lang w:val="uk-UA"/>
        </w:rPr>
        <w:t>було спроможним</w:t>
      </w:r>
      <w:r w:rsidRPr="00222DB2">
        <w:rPr>
          <w:lang w:val="uk-UA"/>
        </w:rPr>
        <w:t xml:space="preserve"> забезпечити пряме та належне відшкодування</w:t>
      </w:r>
      <w:r w:rsidR="006B00BB" w:rsidRPr="00222DB2">
        <w:rPr>
          <w:lang w:val="uk-UA"/>
        </w:rPr>
        <w:t xml:space="preserve"> за</w:t>
      </w:r>
      <w:r w:rsidRPr="00222DB2">
        <w:rPr>
          <w:lang w:val="uk-UA"/>
        </w:rPr>
        <w:t xml:space="preserve"> </w:t>
      </w:r>
      <w:r w:rsidR="00045A1D" w:rsidRPr="00222DB2">
        <w:rPr>
          <w:lang w:val="uk-UA"/>
        </w:rPr>
        <w:t>її</w:t>
      </w:r>
      <w:r w:rsidRPr="00222DB2">
        <w:rPr>
          <w:lang w:val="uk-UA"/>
        </w:rPr>
        <w:t xml:space="preserve"> скарг</w:t>
      </w:r>
      <w:r w:rsidR="006B00BB" w:rsidRPr="00222DB2">
        <w:rPr>
          <w:lang w:val="uk-UA"/>
        </w:rPr>
        <w:t>ою</w:t>
      </w:r>
      <w:r w:rsidRPr="00222DB2">
        <w:rPr>
          <w:lang w:val="uk-UA"/>
        </w:rPr>
        <w:t xml:space="preserve"> (п. 65).</w:t>
      </w:r>
    </w:p>
    <w:p w14:paraId="74239388" w14:textId="77777777" w:rsidR="00335F4B" w:rsidRPr="00222DB2" w:rsidRDefault="00335F4B" w:rsidP="00335F4B">
      <w:pPr>
        <w:pStyle w:val="JuPara"/>
        <w:ind w:firstLine="0"/>
        <w:rPr>
          <w:lang w:val="uk-UA"/>
        </w:rPr>
      </w:pPr>
    </w:p>
    <w:p w14:paraId="17A935C4" w14:textId="6C9CACCF" w:rsidR="00335F4B" w:rsidRPr="00222DB2" w:rsidRDefault="00335F4B" w:rsidP="00335F4B">
      <w:pPr>
        <w:pStyle w:val="JuPara"/>
        <w:ind w:firstLine="0"/>
        <w:rPr>
          <w:lang w:val="uk-UA"/>
        </w:rPr>
      </w:pPr>
      <w:r w:rsidRPr="00222DB2">
        <w:rPr>
          <w:lang w:val="uk-UA"/>
        </w:rPr>
        <w:t>З огляду на вищевикладене, заперечення Уряду слід відхилити (п. 66).</w:t>
      </w:r>
    </w:p>
    <w:p w14:paraId="519E6959" w14:textId="453C67C1" w:rsidR="006B00BB" w:rsidRPr="00222DB2" w:rsidRDefault="006B00BB" w:rsidP="00335F4B">
      <w:pPr>
        <w:pStyle w:val="JuPara"/>
        <w:ind w:firstLine="0"/>
        <w:rPr>
          <w:lang w:val="uk-UA"/>
        </w:rPr>
      </w:pPr>
    </w:p>
    <w:p w14:paraId="39652A96" w14:textId="160B7813" w:rsidR="006B00BB" w:rsidRPr="00222DB2" w:rsidRDefault="006B00BB" w:rsidP="00335F4B">
      <w:pPr>
        <w:pStyle w:val="JuPara"/>
        <w:ind w:firstLine="0"/>
        <w:rPr>
          <w:i/>
          <w:iCs/>
          <w:lang w:val="uk-UA"/>
        </w:rPr>
      </w:pPr>
      <w:r w:rsidRPr="00222DB2">
        <w:rPr>
          <w:i/>
          <w:iCs/>
          <w:lang w:val="uk-UA"/>
        </w:rPr>
        <w:t>Висновок</w:t>
      </w:r>
    </w:p>
    <w:p w14:paraId="510A2AAC" w14:textId="0E13E40D" w:rsidR="006B00BB" w:rsidRPr="00222DB2" w:rsidRDefault="006B00BB" w:rsidP="00335F4B">
      <w:pPr>
        <w:pStyle w:val="JuPara"/>
        <w:ind w:firstLine="0"/>
        <w:rPr>
          <w:lang w:val="uk-UA"/>
        </w:rPr>
      </w:pPr>
    </w:p>
    <w:p w14:paraId="2C2078DA" w14:textId="6EF530EB" w:rsidR="006B00BB" w:rsidRPr="00222DB2" w:rsidRDefault="006B00BB" w:rsidP="00335F4B">
      <w:pPr>
        <w:pStyle w:val="JuPara"/>
        <w:ind w:firstLine="0"/>
        <w:rPr>
          <w:lang w:val="uk-UA"/>
        </w:rPr>
      </w:pPr>
      <w:r w:rsidRPr="00222DB2">
        <w:rPr>
          <w:lang w:val="uk-UA"/>
        </w:rPr>
        <w:t>Суд зазначає, що скарга заявниці не є явно необґрунтованою у значенні п. 3(а) ст. 35 Конвенції. Суд також зазначає, що скарга не є неприйнятною з будь-яких інших підстав. Тому скаргу заявниці слід оголосити прийнятною.</w:t>
      </w:r>
    </w:p>
    <w:p w14:paraId="4F62A0FB" w14:textId="15C68F88" w:rsidR="006B00BB" w:rsidRPr="00222DB2" w:rsidRDefault="006B00BB" w:rsidP="00335F4B">
      <w:pPr>
        <w:pStyle w:val="JuPara"/>
        <w:ind w:firstLine="0"/>
        <w:rPr>
          <w:lang w:val="uk-UA"/>
        </w:rPr>
      </w:pPr>
    </w:p>
    <w:p w14:paraId="23F79342" w14:textId="25922351" w:rsidR="006B00BB" w:rsidRPr="00222DB2" w:rsidRDefault="006B00BB" w:rsidP="00335F4B">
      <w:pPr>
        <w:pStyle w:val="JuPara"/>
        <w:ind w:firstLine="0"/>
        <w:rPr>
          <w:b/>
          <w:bCs/>
          <w:lang w:val="uk-UA"/>
        </w:rPr>
      </w:pPr>
      <w:r w:rsidRPr="00222DB2">
        <w:rPr>
          <w:b/>
          <w:bCs/>
          <w:lang w:val="uk-UA"/>
        </w:rPr>
        <w:t>Розгляд по суті</w:t>
      </w:r>
    </w:p>
    <w:p w14:paraId="72619F3F" w14:textId="26271AA7" w:rsidR="006B00BB" w:rsidRPr="00222DB2" w:rsidRDefault="006B00BB" w:rsidP="00335F4B">
      <w:pPr>
        <w:pStyle w:val="JuPara"/>
        <w:ind w:firstLine="0"/>
        <w:rPr>
          <w:b/>
          <w:bCs/>
          <w:lang w:val="uk-UA"/>
        </w:rPr>
      </w:pPr>
    </w:p>
    <w:p w14:paraId="453643F9" w14:textId="01823A6A" w:rsidR="006B00BB" w:rsidRPr="00222DB2" w:rsidRDefault="006B00BB" w:rsidP="00335F4B">
      <w:pPr>
        <w:pStyle w:val="JuPara"/>
        <w:ind w:firstLine="0"/>
        <w:rPr>
          <w:i/>
          <w:iCs/>
          <w:lang w:val="uk-UA"/>
        </w:rPr>
      </w:pPr>
      <w:r w:rsidRPr="00222DB2">
        <w:rPr>
          <w:i/>
          <w:iCs/>
          <w:lang w:val="uk-UA"/>
        </w:rPr>
        <w:t xml:space="preserve">Позиції сторін </w:t>
      </w:r>
    </w:p>
    <w:p w14:paraId="7C07A1B0" w14:textId="4BD2CB15" w:rsidR="006B00BB" w:rsidRPr="00222DB2" w:rsidRDefault="006B00BB" w:rsidP="00335F4B">
      <w:pPr>
        <w:pStyle w:val="JuPara"/>
        <w:ind w:firstLine="0"/>
        <w:rPr>
          <w:b/>
          <w:bCs/>
          <w:lang w:val="uk-UA"/>
        </w:rPr>
      </w:pPr>
    </w:p>
    <w:p w14:paraId="70C5CA74" w14:textId="6323B047" w:rsidR="006B00BB" w:rsidRPr="00222DB2" w:rsidRDefault="006B00BB" w:rsidP="00335F4B">
      <w:pPr>
        <w:pStyle w:val="JuPara"/>
        <w:ind w:firstLine="0"/>
        <w:rPr>
          <w:b/>
          <w:bCs/>
          <w:lang w:val="uk-UA"/>
        </w:rPr>
      </w:pPr>
      <w:r w:rsidRPr="00222DB2">
        <w:rPr>
          <w:b/>
          <w:bCs/>
          <w:lang w:val="uk-UA"/>
        </w:rPr>
        <w:t>Заявниця</w:t>
      </w:r>
    </w:p>
    <w:p w14:paraId="693D1F4C" w14:textId="5B254D84" w:rsidR="006B00BB" w:rsidRPr="00222DB2" w:rsidRDefault="006B00BB" w:rsidP="00335F4B">
      <w:pPr>
        <w:pStyle w:val="JuPara"/>
        <w:ind w:firstLine="0"/>
        <w:rPr>
          <w:lang w:val="uk-UA"/>
        </w:rPr>
      </w:pPr>
    </w:p>
    <w:p w14:paraId="6DBBE90F" w14:textId="71206398" w:rsidR="006B00BB" w:rsidRPr="00222DB2" w:rsidRDefault="006B00BB" w:rsidP="006B00BB">
      <w:pPr>
        <w:pStyle w:val="JuPara"/>
        <w:ind w:firstLine="0"/>
        <w:rPr>
          <w:lang w:val="uk-UA"/>
        </w:rPr>
      </w:pPr>
      <w:r w:rsidRPr="00222DB2">
        <w:rPr>
          <w:lang w:val="uk-UA"/>
        </w:rPr>
        <w:t>Заявниця стверджувала, що кримінальне розслідування за її заявами про жорстоке поводження не було ефективним, оскільки влада не зібрала докази відповідно до процесуальних правил, що унеможлив</w:t>
      </w:r>
      <w:r w:rsidR="00045A1D" w:rsidRPr="00222DB2">
        <w:rPr>
          <w:lang w:val="uk-UA"/>
        </w:rPr>
        <w:t>и</w:t>
      </w:r>
      <w:r w:rsidRPr="00222DB2">
        <w:rPr>
          <w:lang w:val="uk-UA"/>
        </w:rPr>
        <w:t>ло їх використання під час судового розгляду. Ц</w:t>
      </w:r>
      <w:r w:rsidR="00045A1D" w:rsidRPr="00222DB2">
        <w:rPr>
          <w:lang w:val="uk-UA"/>
        </w:rPr>
        <w:t xml:space="preserve">я процесуальна помилка </w:t>
      </w:r>
      <w:r w:rsidRPr="00222DB2">
        <w:rPr>
          <w:lang w:val="uk-UA"/>
        </w:rPr>
        <w:t>мал</w:t>
      </w:r>
      <w:r w:rsidR="00045A1D" w:rsidRPr="00222DB2">
        <w:rPr>
          <w:lang w:val="uk-UA"/>
        </w:rPr>
        <w:t>а</w:t>
      </w:r>
      <w:r w:rsidRPr="00222DB2">
        <w:rPr>
          <w:lang w:val="uk-UA"/>
        </w:rPr>
        <w:t xml:space="preserve"> прямий вплив на результат кримінального провадження, що призвело до виправдання стверджуваного злочинця (п 68).</w:t>
      </w:r>
    </w:p>
    <w:p w14:paraId="74BE4419" w14:textId="42475F6E" w:rsidR="006B00BB" w:rsidRPr="00222DB2" w:rsidRDefault="006B00BB" w:rsidP="006B00BB">
      <w:pPr>
        <w:pStyle w:val="JuPara"/>
        <w:ind w:firstLine="0"/>
        <w:rPr>
          <w:lang w:val="uk-UA"/>
        </w:rPr>
      </w:pPr>
    </w:p>
    <w:p w14:paraId="5CE8CB40" w14:textId="5E78CEFF" w:rsidR="006B00BB" w:rsidRPr="00222DB2" w:rsidRDefault="006B00BB" w:rsidP="006B00BB">
      <w:pPr>
        <w:pStyle w:val="JuPara"/>
        <w:ind w:firstLine="0"/>
        <w:rPr>
          <w:lang w:val="uk-UA"/>
        </w:rPr>
      </w:pPr>
      <w:r w:rsidRPr="00222DB2">
        <w:rPr>
          <w:lang w:val="uk-UA"/>
        </w:rPr>
        <w:t>Далі заявниця стверджувала, що, оскільки вона була неповнолітньою, до неї не можна було застосовувати ті самі процесуальні правила, що і до повнолітніх свідків. Однак, як визнає Верховний Суд, в Естонії не існувало окремих правил досудового допиту дітей-свідків, коли мова зайшла про поінформування їх про їх</w:t>
      </w:r>
      <w:r w:rsidR="00045A1D" w:rsidRPr="00222DB2">
        <w:rPr>
          <w:lang w:val="uk-UA"/>
        </w:rPr>
        <w:t>ні</w:t>
      </w:r>
      <w:r w:rsidRPr="00222DB2">
        <w:rPr>
          <w:lang w:val="uk-UA"/>
        </w:rPr>
        <w:t xml:space="preserve"> права та обов'язки. Тим не менш, дуже важливо ставитися до свідків-дітей інакше, ніж до дорослих свідків, у світлі обов'язку держав враховувати найкращі інтереси дитини, як це викладено, зокрема, у Конвенції ООН про права дитини, Лансаротської конвенції та відповідних директивах ЄС </w:t>
      </w:r>
      <w:r w:rsidRPr="00222DB2">
        <w:rPr>
          <w:i/>
          <w:iCs/>
          <w:lang w:val="uk-UA"/>
        </w:rPr>
        <w:t xml:space="preserve">(п.п. 47-50) </w:t>
      </w:r>
      <w:r w:rsidRPr="00222DB2">
        <w:rPr>
          <w:lang w:val="uk-UA"/>
        </w:rPr>
        <w:t>(п. 69).</w:t>
      </w:r>
    </w:p>
    <w:p w14:paraId="3BA83F0D" w14:textId="77777777" w:rsidR="006B00BB" w:rsidRPr="00222DB2" w:rsidRDefault="006B00BB" w:rsidP="006B00BB">
      <w:pPr>
        <w:pStyle w:val="JuPara"/>
        <w:ind w:firstLine="0"/>
        <w:rPr>
          <w:lang w:val="uk-UA"/>
        </w:rPr>
      </w:pPr>
    </w:p>
    <w:p w14:paraId="69CA382E" w14:textId="438E485F" w:rsidR="006B00BB" w:rsidRPr="00222DB2" w:rsidRDefault="006B00BB" w:rsidP="006B00BB">
      <w:pPr>
        <w:pStyle w:val="JuPara"/>
        <w:ind w:firstLine="0"/>
        <w:rPr>
          <w:lang w:val="uk-UA"/>
        </w:rPr>
      </w:pPr>
      <w:r w:rsidRPr="00222DB2">
        <w:rPr>
          <w:lang w:val="uk-UA"/>
        </w:rPr>
        <w:t xml:space="preserve">Заявниця поставила під сумнів доцільність </w:t>
      </w:r>
      <w:r w:rsidR="005A41AB" w:rsidRPr="00222DB2">
        <w:rPr>
          <w:lang w:val="uk-UA"/>
        </w:rPr>
        <w:t xml:space="preserve">покладення на неї формального </w:t>
      </w:r>
      <w:r w:rsidRPr="00222DB2">
        <w:rPr>
          <w:lang w:val="uk-UA"/>
        </w:rPr>
        <w:t xml:space="preserve">обов’язку говорити правду, так і можливості відмовитися свідчити проти свого батька, враховуючи її вік та обмежене </w:t>
      </w:r>
      <w:r w:rsidR="005A41AB" w:rsidRPr="00222DB2">
        <w:rPr>
          <w:lang w:val="uk-UA"/>
        </w:rPr>
        <w:t>світосприйняття</w:t>
      </w:r>
      <w:r w:rsidRPr="00222DB2">
        <w:rPr>
          <w:lang w:val="uk-UA"/>
        </w:rPr>
        <w:t xml:space="preserve">. Навіть якби пояснення було надано, було сумнівно, чи це мало б вплив на зміст та якість її свідчень. Вона також зазначила, що згідно естонського законодавства неповнолітні у віці до </w:t>
      </w:r>
      <w:r w:rsidR="005A41AB" w:rsidRPr="00222DB2">
        <w:rPr>
          <w:lang w:val="uk-UA"/>
        </w:rPr>
        <w:t>10</w:t>
      </w:r>
      <w:r w:rsidRPr="00222DB2">
        <w:rPr>
          <w:lang w:val="uk-UA"/>
        </w:rPr>
        <w:t xml:space="preserve"> років вважалися нездатними зрозуміти, коли мова йде про сексуальні злочини. Крім того, стверджувалося, що право на відмову у дачі показань проти члена сім’ї, призначене для захисту сімейних стосунків, не повинно мати застосування у цій справі, якщо батьк</w:t>
      </w:r>
      <w:r w:rsidR="00045A1D" w:rsidRPr="00222DB2">
        <w:rPr>
          <w:lang w:val="uk-UA"/>
        </w:rPr>
        <w:t>о</w:t>
      </w:r>
      <w:r w:rsidRPr="00222DB2">
        <w:rPr>
          <w:lang w:val="uk-UA"/>
        </w:rPr>
        <w:t>, як стверджується, вчини</w:t>
      </w:r>
      <w:r w:rsidR="00045A1D" w:rsidRPr="00222DB2">
        <w:rPr>
          <w:lang w:val="uk-UA"/>
        </w:rPr>
        <w:t>в</w:t>
      </w:r>
      <w:r w:rsidRPr="00222DB2">
        <w:rPr>
          <w:lang w:val="uk-UA"/>
        </w:rPr>
        <w:t xml:space="preserve"> сексуальне насильство щодо своєї дитини. У будь-якому випадку, ненадання їй вищезазначеної інформації не повинно було служити підставою для повного виключення її свідчень </w:t>
      </w:r>
      <w:r w:rsidR="005A41AB" w:rsidRPr="00222DB2">
        <w:rPr>
          <w:lang w:val="uk-UA"/>
        </w:rPr>
        <w:t xml:space="preserve">з переліку доказів </w:t>
      </w:r>
      <w:r w:rsidRPr="00222DB2">
        <w:rPr>
          <w:lang w:val="uk-UA"/>
        </w:rPr>
        <w:t>(п. 70).</w:t>
      </w:r>
    </w:p>
    <w:p w14:paraId="5CB1BCDB" w14:textId="29A6F3BA" w:rsidR="006B00BB" w:rsidRPr="00222DB2" w:rsidRDefault="006B00BB" w:rsidP="006B00BB">
      <w:pPr>
        <w:pStyle w:val="JuPara"/>
        <w:ind w:firstLine="0"/>
        <w:rPr>
          <w:lang w:val="uk-UA"/>
        </w:rPr>
      </w:pPr>
    </w:p>
    <w:p w14:paraId="5BB95128" w14:textId="16B0BA5C" w:rsidR="006B00BB" w:rsidRPr="00222DB2" w:rsidRDefault="006B00BB" w:rsidP="006B00BB">
      <w:pPr>
        <w:pStyle w:val="JuPara"/>
        <w:ind w:firstLine="0"/>
        <w:rPr>
          <w:lang w:val="uk-UA"/>
        </w:rPr>
      </w:pPr>
      <w:r w:rsidRPr="00222DB2">
        <w:rPr>
          <w:lang w:val="uk-UA"/>
        </w:rPr>
        <w:t>Загалом, заявниця вважала, що, застосовуючи процесуальні правила таким чином, що недостатньо враховували особливі потреби та інтереси дитини-жертви, влада залишила її без ефективного захисту від жорстокого поводження (п. 71).</w:t>
      </w:r>
    </w:p>
    <w:p w14:paraId="14EA1665" w14:textId="7369D24B" w:rsidR="005A41AB" w:rsidRPr="00222DB2" w:rsidRDefault="005A41AB" w:rsidP="006B00BB">
      <w:pPr>
        <w:pStyle w:val="JuPara"/>
        <w:ind w:firstLine="0"/>
        <w:rPr>
          <w:lang w:val="uk-UA"/>
        </w:rPr>
      </w:pPr>
    </w:p>
    <w:p w14:paraId="3DB56A87" w14:textId="6095AA9F" w:rsidR="005A41AB" w:rsidRPr="00222DB2" w:rsidRDefault="005A41AB" w:rsidP="006B00BB">
      <w:pPr>
        <w:pStyle w:val="JuPara"/>
        <w:ind w:firstLine="0"/>
        <w:rPr>
          <w:b/>
          <w:bCs/>
          <w:lang w:val="uk-UA"/>
        </w:rPr>
      </w:pPr>
      <w:r w:rsidRPr="00222DB2">
        <w:rPr>
          <w:b/>
          <w:bCs/>
          <w:lang w:val="uk-UA"/>
        </w:rPr>
        <w:t>Уряд</w:t>
      </w:r>
    </w:p>
    <w:p w14:paraId="68BF7478" w14:textId="499517CD" w:rsidR="005A41AB" w:rsidRPr="00222DB2" w:rsidRDefault="005A41AB" w:rsidP="006B00BB">
      <w:pPr>
        <w:pStyle w:val="JuPara"/>
        <w:ind w:firstLine="0"/>
        <w:rPr>
          <w:lang w:val="uk-UA"/>
        </w:rPr>
      </w:pPr>
    </w:p>
    <w:p w14:paraId="42D242B2" w14:textId="4C20A15D" w:rsidR="005A41AB" w:rsidRPr="00222DB2" w:rsidRDefault="005A41AB" w:rsidP="005A41AB">
      <w:pPr>
        <w:pStyle w:val="JuPara"/>
        <w:ind w:firstLine="0"/>
        <w:rPr>
          <w:lang w:val="uk-UA"/>
        </w:rPr>
      </w:pPr>
      <w:r w:rsidRPr="00222DB2">
        <w:rPr>
          <w:lang w:val="uk-UA"/>
        </w:rPr>
        <w:t xml:space="preserve">Уряд вважав, що державні органи виконали свої позитивні зобов'язання за ст. 3 і ст. 8 Конвенції. Стверджувані акти сексуального насильства каралися кримінальним законодавством, і не виникало жодних проблем щодо їх застосування на практиці. Досудове розслідування та подальші судові </w:t>
      </w:r>
      <w:proofErr w:type="spellStart"/>
      <w:r w:rsidRPr="00222DB2">
        <w:rPr>
          <w:lang w:val="uk-UA"/>
        </w:rPr>
        <w:t>розгляди</w:t>
      </w:r>
      <w:proofErr w:type="spellEnd"/>
      <w:r w:rsidRPr="00222DB2">
        <w:rPr>
          <w:lang w:val="uk-UA"/>
        </w:rPr>
        <w:t xml:space="preserve"> також відповідали вимогам Конвенції, належним чином враховуючи права потерпілої та обвинуваченого, забезпечуючи в цілому справедливий суд (п. 72).</w:t>
      </w:r>
    </w:p>
    <w:p w14:paraId="3AE60624" w14:textId="77777777" w:rsidR="005A41AB" w:rsidRPr="00222DB2" w:rsidRDefault="005A41AB" w:rsidP="005A41AB">
      <w:pPr>
        <w:pStyle w:val="JuPara"/>
        <w:ind w:firstLine="0"/>
        <w:rPr>
          <w:lang w:val="uk-UA"/>
        </w:rPr>
      </w:pPr>
    </w:p>
    <w:p w14:paraId="77BEF10E" w14:textId="447B4578" w:rsidR="005A41AB" w:rsidRPr="00222DB2" w:rsidRDefault="005A41AB" w:rsidP="005A41AB">
      <w:pPr>
        <w:pStyle w:val="JuPara"/>
        <w:ind w:firstLine="0"/>
        <w:rPr>
          <w:lang w:val="uk-UA"/>
        </w:rPr>
      </w:pPr>
      <w:r w:rsidRPr="00222DB2">
        <w:rPr>
          <w:lang w:val="uk-UA"/>
        </w:rPr>
        <w:t xml:space="preserve">Зокрема, кримінальне провадження було розпочато одразу після подання повідомлення про злочин 19 березня 2012 року. Слідчі зібрали всі докази, які могли бути зібрані, включаючи протоколи допиту заявниці за присутності психолога та її матері, призначення експертиз її психологічного стану та фізичного огляду. Розслідування завершилося висуненням обвинувачення 27 червня 2013 року, після чого справа була розглянута на трьох рівнях юрисдикції, </w:t>
      </w:r>
      <w:r w:rsidRPr="00222DB2">
        <w:rPr>
          <w:lang w:val="uk-UA"/>
        </w:rPr>
        <w:lastRenderedPageBreak/>
        <w:t>що завершилося рішенням Верховного Суду від 23 жовтня 2015 року. Загальну тривалість провадження (близько 3 років і 7 місяців) не можна вважати необґрунтованою. Заявниця брала участь у провадженні за допомогою свого законного представника та адвоката, які обидва були присутні на судових засіданнях за її відсутності. Жодного разу під час провадження ці представники не висловлювали жодної критики щодо розслідування (п. 73).</w:t>
      </w:r>
    </w:p>
    <w:p w14:paraId="2F4EC1AF" w14:textId="4AFFDDFE" w:rsidR="005A41AB" w:rsidRPr="00222DB2" w:rsidRDefault="005A41AB" w:rsidP="006B00BB">
      <w:pPr>
        <w:pStyle w:val="JuPara"/>
        <w:ind w:firstLine="0"/>
        <w:rPr>
          <w:lang w:val="uk-UA"/>
        </w:rPr>
      </w:pPr>
    </w:p>
    <w:p w14:paraId="54F42F5D" w14:textId="4AE83F27" w:rsidR="005A41AB" w:rsidRPr="00222DB2" w:rsidRDefault="005A41AB" w:rsidP="006B00BB">
      <w:pPr>
        <w:pStyle w:val="JuPara"/>
        <w:ind w:firstLine="0"/>
        <w:rPr>
          <w:lang w:val="uk-UA"/>
        </w:rPr>
      </w:pPr>
      <w:r w:rsidRPr="00222DB2">
        <w:rPr>
          <w:lang w:val="uk-UA"/>
        </w:rPr>
        <w:t>Щодо недоліків, виявлених Верховним Судом, що призводять до виключення показань заявниці з числа доказів, Уряд стверджував, що обов’язок говорити правду був одним із найважливіших обов’язків свідка відповідно до КПК, який застосовувався незалежно від віку свідка. Однак неповідомлення свідка про цей обов’язок не призвело автоматично до виключення його свідчень. Таке виключення було можливим за обставин справи, коли свідчення бул</w:t>
      </w:r>
      <w:r w:rsidR="007D45F8" w:rsidRPr="00222DB2">
        <w:rPr>
          <w:lang w:val="uk-UA"/>
        </w:rPr>
        <w:t>о</w:t>
      </w:r>
      <w:r w:rsidRPr="00222DB2">
        <w:rPr>
          <w:lang w:val="uk-UA"/>
        </w:rPr>
        <w:t xml:space="preserve"> єдиним доказом, що підтверджує обвинувачення обвинуваченого. У цій справі дотримання вимоги інформувати заявницю про цей обов’язок набуло особливого значення, оскільки її свідчення мали вирішальну вагу у кримінальній справі, і вона не могла бути безпосередньо допитана захистом під час судового розгляду. Не менш важливим був обов’язок інформувати свідк</w:t>
      </w:r>
      <w:r w:rsidR="00045A1D" w:rsidRPr="00222DB2">
        <w:rPr>
          <w:lang w:val="uk-UA"/>
        </w:rPr>
        <w:t>а</w:t>
      </w:r>
      <w:r w:rsidRPr="00222DB2">
        <w:rPr>
          <w:lang w:val="uk-UA"/>
        </w:rPr>
        <w:t xml:space="preserve"> про </w:t>
      </w:r>
      <w:r w:rsidR="007D45F8" w:rsidRPr="00222DB2">
        <w:rPr>
          <w:lang w:val="uk-UA"/>
        </w:rPr>
        <w:t>його</w:t>
      </w:r>
      <w:r w:rsidRPr="00222DB2">
        <w:rPr>
          <w:lang w:val="uk-UA"/>
        </w:rPr>
        <w:t xml:space="preserve"> право не давати свідчення проти своїх рідних, обов’язок, який, крім того, був конкретно викладений у керівних принципах Генерального прокурора щодо особливо</w:t>
      </w:r>
      <w:r w:rsidR="007D45F8" w:rsidRPr="00222DB2">
        <w:rPr>
          <w:lang w:val="uk-UA"/>
        </w:rPr>
        <w:t xml:space="preserve">ї уваги </w:t>
      </w:r>
      <w:r w:rsidRPr="00222DB2">
        <w:rPr>
          <w:lang w:val="uk-UA"/>
        </w:rPr>
        <w:t>до неповнолітніх у кримінальному провадженні. Заявницю слід було поінформувати про це право, щоб вона могла зрозуміти наслідки свідчення проти свого батька</w:t>
      </w:r>
      <w:r w:rsidR="007D45F8" w:rsidRPr="00222DB2">
        <w:rPr>
          <w:lang w:val="uk-UA"/>
        </w:rPr>
        <w:t xml:space="preserve"> (п. 74).</w:t>
      </w:r>
    </w:p>
    <w:p w14:paraId="5A9F489D" w14:textId="02B1986B" w:rsidR="005A41AB" w:rsidRPr="00222DB2" w:rsidRDefault="005A41AB" w:rsidP="005A41AB">
      <w:pPr>
        <w:pStyle w:val="JuPara"/>
        <w:ind w:firstLine="0"/>
        <w:rPr>
          <w:lang w:val="uk-UA"/>
        </w:rPr>
      </w:pPr>
    </w:p>
    <w:p w14:paraId="1E236DAB" w14:textId="5242C6B8" w:rsidR="007D45F8" w:rsidRPr="00222DB2" w:rsidRDefault="007D45F8" w:rsidP="007D45F8">
      <w:pPr>
        <w:pStyle w:val="JuPara"/>
        <w:ind w:firstLine="0"/>
        <w:rPr>
          <w:lang w:val="uk-UA"/>
        </w:rPr>
      </w:pPr>
      <w:r w:rsidRPr="00222DB2">
        <w:rPr>
          <w:lang w:val="uk-UA"/>
        </w:rPr>
        <w:t>Уряд зауважив, що норми міжнародних документів, що стосуються захисту прав дітей у кримінальному провадженні, також підкреслюють обов'язок забезпечувати прав</w:t>
      </w:r>
      <w:r w:rsidR="008F58C4" w:rsidRPr="00222DB2">
        <w:rPr>
          <w:lang w:val="uk-UA"/>
        </w:rPr>
        <w:t>о</w:t>
      </w:r>
      <w:r w:rsidRPr="00222DB2">
        <w:rPr>
          <w:lang w:val="uk-UA"/>
        </w:rPr>
        <w:t xml:space="preserve"> на захист та вимоги справедливого судового розгляду. Оскільки процесуальні зобов’язання, викладені у внутрішньому законодавстві, не суперечать Конвенції чи будь-якому іншому міжнародному чи європейському регламенту, національні суди не мали права вирішувати, яку вагу </w:t>
      </w:r>
      <w:r w:rsidR="008F58C4" w:rsidRPr="00222DB2">
        <w:rPr>
          <w:lang w:val="uk-UA"/>
        </w:rPr>
        <w:t>надати</w:t>
      </w:r>
      <w:r w:rsidRPr="00222DB2">
        <w:rPr>
          <w:lang w:val="uk-UA"/>
        </w:rPr>
        <w:t xml:space="preserve"> </w:t>
      </w:r>
      <w:r w:rsidR="008F58C4" w:rsidRPr="00222DB2">
        <w:rPr>
          <w:lang w:val="uk-UA"/>
        </w:rPr>
        <w:t>процесуальним помилкам</w:t>
      </w:r>
      <w:r w:rsidRPr="00222DB2">
        <w:rPr>
          <w:lang w:val="uk-UA"/>
        </w:rPr>
        <w:t xml:space="preserve"> слідчих у цій справі, беручи до уваги права обвинуваченого (п. 75).</w:t>
      </w:r>
    </w:p>
    <w:p w14:paraId="758E6F46" w14:textId="77777777" w:rsidR="007D45F8" w:rsidRPr="00222DB2" w:rsidRDefault="007D45F8" w:rsidP="007D45F8">
      <w:pPr>
        <w:pStyle w:val="JuPara"/>
        <w:ind w:firstLine="0"/>
        <w:rPr>
          <w:lang w:val="uk-UA"/>
        </w:rPr>
      </w:pPr>
    </w:p>
    <w:p w14:paraId="7230EAFA" w14:textId="3198B6E4" w:rsidR="007D45F8" w:rsidRPr="00222DB2" w:rsidRDefault="007D45F8" w:rsidP="007D45F8">
      <w:pPr>
        <w:pStyle w:val="JuPara"/>
        <w:ind w:firstLine="0"/>
        <w:rPr>
          <w:lang w:val="uk-UA"/>
        </w:rPr>
      </w:pPr>
      <w:r w:rsidRPr="00222DB2">
        <w:rPr>
          <w:lang w:val="uk-UA"/>
        </w:rPr>
        <w:t>За обставин цієї справи, суворий підхід, прийнятий Верховним Судом щодо допустимості доказів, отриманих при істотному порушенні процесуальних правил, був абсолютно виправданим (п. 76).</w:t>
      </w:r>
    </w:p>
    <w:p w14:paraId="4AAD0751" w14:textId="6AFE9AFF" w:rsidR="007D45F8" w:rsidRPr="00222DB2" w:rsidRDefault="007D45F8" w:rsidP="007D45F8">
      <w:pPr>
        <w:pStyle w:val="JuPara"/>
        <w:ind w:firstLine="0"/>
        <w:rPr>
          <w:lang w:val="uk-UA"/>
        </w:rPr>
      </w:pPr>
    </w:p>
    <w:p w14:paraId="448D0A0B" w14:textId="06F2ED1B" w:rsidR="007D45F8" w:rsidRPr="00222DB2" w:rsidRDefault="007D45F8" w:rsidP="007D45F8">
      <w:pPr>
        <w:pStyle w:val="JuPara"/>
        <w:ind w:firstLine="0"/>
        <w:rPr>
          <w:lang w:val="uk-UA"/>
        </w:rPr>
      </w:pPr>
      <w:r w:rsidRPr="00222DB2">
        <w:rPr>
          <w:lang w:val="uk-UA"/>
        </w:rPr>
        <w:t xml:space="preserve">На думку Уряду, порушення важливих процедурних вимог не зробило кримінальне розслідування неефективним. Недоліки стосувалися поодиноких актів бездіяльності у розслідуванні, а не будь-яких істотних вад чи системних дефектів законодавства чи практики. Вплив неспроможності слідчих повідомити заявницю про її права та обов’язки </w:t>
      </w:r>
      <w:r w:rsidR="008F58C4" w:rsidRPr="00222DB2">
        <w:rPr>
          <w:lang w:val="uk-UA"/>
        </w:rPr>
        <w:t>на</w:t>
      </w:r>
      <w:r w:rsidRPr="00222DB2">
        <w:rPr>
          <w:lang w:val="uk-UA"/>
        </w:rPr>
        <w:t xml:space="preserve"> допустим</w:t>
      </w:r>
      <w:r w:rsidR="008F58C4" w:rsidRPr="00222DB2">
        <w:rPr>
          <w:lang w:val="uk-UA"/>
        </w:rPr>
        <w:t>ість</w:t>
      </w:r>
      <w:r w:rsidRPr="00222DB2">
        <w:rPr>
          <w:lang w:val="uk-UA"/>
        </w:rPr>
        <w:t xml:space="preserve"> її показань став очевидни</w:t>
      </w:r>
      <w:r w:rsidR="008F58C4" w:rsidRPr="00222DB2">
        <w:rPr>
          <w:lang w:val="uk-UA"/>
        </w:rPr>
        <w:t>м</w:t>
      </w:r>
      <w:r w:rsidRPr="00222DB2">
        <w:rPr>
          <w:lang w:val="uk-UA"/>
        </w:rPr>
        <w:t xml:space="preserve"> не </w:t>
      </w:r>
      <w:r w:rsidRPr="00222DB2">
        <w:rPr>
          <w:lang w:val="uk-UA"/>
        </w:rPr>
        <w:lastRenderedPageBreak/>
        <w:t>відразу</w:t>
      </w:r>
      <w:r w:rsidR="008F58C4" w:rsidRPr="00222DB2">
        <w:rPr>
          <w:lang w:val="uk-UA"/>
        </w:rPr>
        <w:t xml:space="preserve">; </w:t>
      </w:r>
      <w:r w:rsidRPr="00222DB2">
        <w:rPr>
          <w:lang w:val="uk-UA"/>
        </w:rPr>
        <w:t>ця невдача стала проблемою в контексті оцінки достовірності показань. Більше того, виправдовуючи стверджуваного злочинця, Верховний Суд також вказав на інші недоліки у провадженні в судах нижчої інстанції, особливо критикуючи їхній підхід до доказів. Враховуючи, що, згідно з Конвенцією, не існує права вимагати засудження у кримінальному провадженні та що оцінка доказів належить переважно до компетенції національних судів, Уряд дійшов висновку, що у цій справі не було порушення ст. 3 і ст. 8 Конвенції (п. 77).</w:t>
      </w:r>
    </w:p>
    <w:p w14:paraId="2B74C835" w14:textId="3A316335" w:rsidR="007D45F8" w:rsidRPr="00222DB2" w:rsidRDefault="007D45F8" w:rsidP="007D45F8">
      <w:pPr>
        <w:pStyle w:val="JuPara"/>
        <w:ind w:firstLine="0"/>
        <w:rPr>
          <w:lang w:val="uk-UA"/>
        </w:rPr>
      </w:pPr>
    </w:p>
    <w:p w14:paraId="13B7CCD0" w14:textId="1B7101FD" w:rsidR="007D45F8" w:rsidRPr="00222DB2" w:rsidRDefault="007D45F8" w:rsidP="007D45F8">
      <w:pPr>
        <w:pStyle w:val="JuPara"/>
        <w:ind w:firstLine="0"/>
        <w:rPr>
          <w:i/>
          <w:iCs/>
          <w:lang w:val="uk-UA"/>
        </w:rPr>
      </w:pPr>
      <w:r w:rsidRPr="00222DB2">
        <w:rPr>
          <w:i/>
          <w:iCs/>
          <w:lang w:val="uk-UA"/>
        </w:rPr>
        <w:t>Оцінка Суду</w:t>
      </w:r>
    </w:p>
    <w:p w14:paraId="7B9B2844" w14:textId="59660972" w:rsidR="007D45F8" w:rsidRPr="00222DB2" w:rsidRDefault="007D45F8" w:rsidP="007D45F8">
      <w:pPr>
        <w:pStyle w:val="JuPara"/>
        <w:ind w:firstLine="0"/>
        <w:rPr>
          <w:lang w:val="uk-UA"/>
        </w:rPr>
      </w:pPr>
    </w:p>
    <w:p w14:paraId="3A853FA5" w14:textId="79637B10" w:rsidR="007D45F8" w:rsidRPr="00222DB2" w:rsidRDefault="007D45F8" w:rsidP="007D45F8">
      <w:pPr>
        <w:pStyle w:val="JuPara"/>
        <w:ind w:firstLine="0"/>
        <w:rPr>
          <w:b/>
          <w:bCs/>
          <w:lang w:val="uk-UA"/>
        </w:rPr>
      </w:pPr>
      <w:r w:rsidRPr="00222DB2">
        <w:rPr>
          <w:b/>
          <w:bCs/>
          <w:lang w:val="uk-UA"/>
        </w:rPr>
        <w:t>Загальні принципи</w:t>
      </w:r>
    </w:p>
    <w:p w14:paraId="78751323" w14:textId="3DCFEEF5" w:rsidR="007D45F8" w:rsidRPr="00222DB2" w:rsidRDefault="007D45F8" w:rsidP="007D45F8">
      <w:pPr>
        <w:pStyle w:val="JuPara"/>
        <w:ind w:firstLine="0"/>
        <w:rPr>
          <w:lang w:val="uk-UA"/>
        </w:rPr>
      </w:pPr>
    </w:p>
    <w:p w14:paraId="1DF5E8A0" w14:textId="09121BFE" w:rsidR="007D45F8" w:rsidRPr="00222DB2" w:rsidRDefault="007D45F8" w:rsidP="007D45F8">
      <w:pPr>
        <w:pStyle w:val="JuPara"/>
        <w:ind w:firstLine="0"/>
        <w:rPr>
          <w:lang w:val="uk-UA"/>
        </w:rPr>
      </w:pPr>
      <w:r w:rsidRPr="00222DB2">
        <w:rPr>
          <w:lang w:val="uk-UA"/>
        </w:rPr>
        <w:t xml:space="preserve">Суд повторює, що </w:t>
      </w:r>
      <w:r w:rsidR="008222CF" w:rsidRPr="00222DB2">
        <w:rPr>
          <w:lang w:val="uk-UA"/>
        </w:rPr>
        <w:t xml:space="preserve">як </w:t>
      </w:r>
      <w:r w:rsidRPr="00222DB2">
        <w:rPr>
          <w:lang w:val="uk-UA"/>
        </w:rPr>
        <w:t>ст</w:t>
      </w:r>
      <w:r w:rsidR="008222CF" w:rsidRPr="00222DB2">
        <w:rPr>
          <w:lang w:val="uk-UA"/>
        </w:rPr>
        <w:t>.</w:t>
      </w:r>
      <w:r w:rsidRPr="00222DB2">
        <w:rPr>
          <w:lang w:val="uk-UA"/>
        </w:rPr>
        <w:t xml:space="preserve"> 3</w:t>
      </w:r>
      <w:r w:rsidR="008222CF" w:rsidRPr="00222DB2">
        <w:rPr>
          <w:lang w:val="uk-UA"/>
        </w:rPr>
        <w:t xml:space="preserve"> Конвенції, так і ст. </w:t>
      </w:r>
      <w:r w:rsidRPr="00222DB2">
        <w:rPr>
          <w:lang w:val="uk-UA"/>
        </w:rPr>
        <w:t xml:space="preserve">8 Конвенції </w:t>
      </w:r>
      <w:r w:rsidR="008222CF" w:rsidRPr="00222DB2">
        <w:rPr>
          <w:lang w:val="uk-UA"/>
        </w:rPr>
        <w:t>покладають на держави</w:t>
      </w:r>
      <w:r w:rsidRPr="00222DB2">
        <w:rPr>
          <w:lang w:val="uk-UA"/>
        </w:rPr>
        <w:t xml:space="preserve"> зобов’язання охороняти фізичну та психологічну недоторканність особи </w:t>
      </w:r>
      <w:r w:rsidRPr="00222DB2">
        <w:rPr>
          <w:i/>
          <w:iCs/>
          <w:lang w:val="uk-UA"/>
        </w:rPr>
        <w:t>(</w:t>
      </w:r>
      <w:proofErr w:type="spellStart"/>
      <w:r w:rsidR="008222CF" w:rsidRPr="00222DB2">
        <w:rPr>
          <w:i/>
          <w:iCs/>
          <w:lang w:val="uk-UA"/>
        </w:rPr>
        <w:t>see</w:t>
      </w:r>
      <w:proofErr w:type="spellEnd"/>
      <w:r w:rsidR="008222CF" w:rsidRPr="00222DB2">
        <w:rPr>
          <w:i/>
          <w:iCs/>
          <w:lang w:val="uk-UA"/>
        </w:rPr>
        <w:t xml:space="preserve">, </w:t>
      </w:r>
      <w:proofErr w:type="spellStart"/>
      <w:r w:rsidR="008222CF" w:rsidRPr="00222DB2">
        <w:rPr>
          <w:i/>
          <w:iCs/>
          <w:lang w:val="uk-UA"/>
        </w:rPr>
        <w:t>among</w:t>
      </w:r>
      <w:proofErr w:type="spellEnd"/>
      <w:r w:rsidR="008222CF" w:rsidRPr="00222DB2">
        <w:rPr>
          <w:i/>
          <w:iCs/>
          <w:lang w:val="uk-UA"/>
        </w:rPr>
        <w:t xml:space="preserve"> other </w:t>
      </w:r>
      <w:proofErr w:type="spellStart"/>
      <w:r w:rsidR="008222CF" w:rsidRPr="00222DB2">
        <w:rPr>
          <w:i/>
          <w:iCs/>
          <w:lang w:val="uk-UA"/>
        </w:rPr>
        <w:t>authorities</w:t>
      </w:r>
      <w:proofErr w:type="spellEnd"/>
      <w:r w:rsidR="008222CF" w:rsidRPr="00222DB2">
        <w:rPr>
          <w:i/>
          <w:iCs/>
          <w:lang w:val="uk-UA"/>
        </w:rPr>
        <w:t xml:space="preserve">, «M. and C. v. Romania», № 29032/04, п.п. 107-11; «M.P. and Others v. Bulgaria», № 22457/08, п. 108). </w:t>
      </w:r>
      <w:r w:rsidR="008222CF" w:rsidRPr="00222DB2">
        <w:rPr>
          <w:lang w:val="uk-UA"/>
        </w:rPr>
        <w:t>Як було зазначено Судом раніше</w:t>
      </w:r>
      <w:r w:rsidRPr="00222DB2">
        <w:rPr>
          <w:lang w:val="uk-UA"/>
        </w:rPr>
        <w:t xml:space="preserve">, позитивні зобов’язання органів влади </w:t>
      </w:r>
      <w:r w:rsidR="008F58C4" w:rsidRPr="00222DB2">
        <w:rPr>
          <w:lang w:val="uk-UA"/>
        </w:rPr>
        <w:t>у</w:t>
      </w:r>
      <w:r w:rsidRPr="00222DB2">
        <w:rPr>
          <w:lang w:val="uk-UA"/>
        </w:rPr>
        <w:t xml:space="preserve"> цьому контексті можуть включати обов’язок підтримувати та застосовувати на практиці адекватну правову базу, що забезпечує захист від актів насильства з боку приватних осіб </w:t>
      </w:r>
      <w:r w:rsidR="008222CF" w:rsidRPr="00222DB2">
        <w:rPr>
          <w:i/>
          <w:iCs/>
          <w:lang w:val="uk-UA"/>
        </w:rPr>
        <w:t>(</w:t>
      </w:r>
      <w:proofErr w:type="spellStart"/>
      <w:r w:rsidR="008222CF" w:rsidRPr="00222DB2">
        <w:rPr>
          <w:i/>
          <w:iCs/>
          <w:lang w:val="uk-UA"/>
        </w:rPr>
        <w:t>see</w:t>
      </w:r>
      <w:proofErr w:type="spellEnd"/>
      <w:r w:rsidR="008222CF" w:rsidRPr="00222DB2">
        <w:rPr>
          <w:i/>
          <w:iCs/>
          <w:lang w:val="uk-UA"/>
        </w:rPr>
        <w:t xml:space="preserve"> «Söderman», </w:t>
      </w:r>
      <w:proofErr w:type="spellStart"/>
      <w:r w:rsidR="008222CF" w:rsidRPr="00222DB2">
        <w:rPr>
          <w:i/>
          <w:iCs/>
          <w:lang w:val="uk-UA"/>
        </w:rPr>
        <w:t>cited</w:t>
      </w:r>
      <w:proofErr w:type="spellEnd"/>
      <w:r w:rsidR="008222CF" w:rsidRPr="00222DB2">
        <w:rPr>
          <w:i/>
          <w:iCs/>
          <w:lang w:val="uk-UA"/>
        </w:rPr>
        <w:t xml:space="preserve"> </w:t>
      </w:r>
      <w:proofErr w:type="spellStart"/>
      <w:r w:rsidR="008222CF" w:rsidRPr="00222DB2">
        <w:rPr>
          <w:i/>
          <w:iCs/>
          <w:lang w:val="uk-UA"/>
        </w:rPr>
        <w:t>above</w:t>
      </w:r>
      <w:proofErr w:type="spellEnd"/>
      <w:r w:rsidR="008222CF" w:rsidRPr="00222DB2">
        <w:rPr>
          <w:i/>
          <w:iCs/>
          <w:lang w:val="uk-UA"/>
        </w:rPr>
        <w:t xml:space="preserve">, п. 80, with further </w:t>
      </w:r>
      <w:proofErr w:type="spellStart"/>
      <w:r w:rsidR="008222CF" w:rsidRPr="00222DB2">
        <w:rPr>
          <w:i/>
          <w:iCs/>
          <w:lang w:val="uk-UA"/>
        </w:rPr>
        <w:t>references</w:t>
      </w:r>
      <w:proofErr w:type="spellEnd"/>
      <w:r w:rsidR="008222CF" w:rsidRPr="00222DB2">
        <w:rPr>
          <w:i/>
          <w:iCs/>
          <w:lang w:val="uk-UA"/>
        </w:rPr>
        <w:t>).</w:t>
      </w:r>
      <w:r w:rsidRPr="00222DB2">
        <w:rPr>
          <w:lang w:val="uk-UA"/>
        </w:rPr>
        <w:t xml:space="preserve"> Зокрема, діти та інші вразливі особи мають право на ефективний захист </w:t>
      </w:r>
      <w:r w:rsidRPr="00222DB2">
        <w:rPr>
          <w:i/>
          <w:iCs/>
          <w:lang w:val="uk-UA"/>
        </w:rPr>
        <w:t>(</w:t>
      </w:r>
      <w:proofErr w:type="spellStart"/>
      <w:r w:rsidRPr="00222DB2">
        <w:rPr>
          <w:i/>
          <w:iCs/>
          <w:lang w:val="uk-UA"/>
        </w:rPr>
        <w:t>see</w:t>
      </w:r>
      <w:proofErr w:type="spellEnd"/>
      <w:r w:rsidRPr="00222DB2">
        <w:rPr>
          <w:i/>
          <w:iCs/>
          <w:lang w:val="uk-UA"/>
        </w:rPr>
        <w:t xml:space="preserve"> «M.C. v. Bulgaria», №</w:t>
      </w:r>
      <w:r w:rsidR="008F58C4" w:rsidRPr="00222DB2">
        <w:rPr>
          <w:i/>
          <w:iCs/>
          <w:lang w:val="uk-UA"/>
        </w:rPr>
        <w:t xml:space="preserve"> </w:t>
      </w:r>
      <w:r w:rsidRPr="00222DB2">
        <w:rPr>
          <w:i/>
          <w:iCs/>
          <w:lang w:val="uk-UA"/>
        </w:rPr>
        <w:t>39272/98, п. 150)</w:t>
      </w:r>
      <w:r w:rsidRPr="00222DB2">
        <w:rPr>
          <w:lang w:val="uk-UA"/>
        </w:rPr>
        <w:t xml:space="preserve"> (п. 78).</w:t>
      </w:r>
    </w:p>
    <w:p w14:paraId="12BF5240" w14:textId="77777777" w:rsidR="007D45F8" w:rsidRPr="00222DB2" w:rsidRDefault="007D45F8" w:rsidP="007D45F8">
      <w:pPr>
        <w:pStyle w:val="JuPara"/>
        <w:ind w:firstLine="0"/>
        <w:rPr>
          <w:lang w:val="uk-UA"/>
        </w:rPr>
      </w:pPr>
    </w:p>
    <w:p w14:paraId="167B3E83" w14:textId="3C0D9E5B" w:rsidR="008222CF" w:rsidRPr="00222DB2" w:rsidRDefault="007D45F8" w:rsidP="008222CF">
      <w:pPr>
        <w:pStyle w:val="JuPara"/>
        <w:ind w:firstLine="0"/>
        <w:rPr>
          <w:lang w:val="uk-UA"/>
        </w:rPr>
      </w:pPr>
      <w:r w:rsidRPr="00222DB2">
        <w:rPr>
          <w:lang w:val="uk-UA"/>
        </w:rPr>
        <w:t>Що стосується, зокрема, серйозних дій, таких як зґвалтування та інші форми сексуального насильства над дітьми, де ставляться під загрозу основоположн</w:t>
      </w:r>
      <w:r w:rsidR="008222CF" w:rsidRPr="00222DB2">
        <w:rPr>
          <w:lang w:val="uk-UA"/>
        </w:rPr>
        <w:t>і</w:t>
      </w:r>
      <w:r w:rsidRPr="00222DB2">
        <w:rPr>
          <w:lang w:val="uk-UA"/>
        </w:rPr>
        <w:t xml:space="preserve"> цінност</w:t>
      </w:r>
      <w:r w:rsidR="008222CF" w:rsidRPr="00222DB2">
        <w:rPr>
          <w:lang w:val="uk-UA"/>
        </w:rPr>
        <w:t>і</w:t>
      </w:r>
      <w:r w:rsidRPr="00222DB2">
        <w:rPr>
          <w:lang w:val="uk-UA"/>
        </w:rPr>
        <w:t xml:space="preserve"> та суттєві аспекти приватного життя, держави-</w:t>
      </w:r>
      <w:r w:rsidR="008222CF" w:rsidRPr="00222DB2">
        <w:rPr>
          <w:lang w:val="uk-UA"/>
        </w:rPr>
        <w:t>учасниці</w:t>
      </w:r>
      <w:r w:rsidRPr="00222DB2">
        <w:rPr>
          <w:lang w:val="uk-UA"/>
        </w:rPr>
        <w:t xml:space="preserve"> повинні забезпечити дотримання ефективних положень кримінального законодавства </w:t>
      </w:r>
      <w:r w:rsidRPr="00222DB2">
        <w:rPr>
          <w:i/>
          <w:iCs/>
          <w:lang w:val="uk-UA"/>
        </w:rPr>
        <w:t>(</w:t>
      </w:r>
      <w:proofErr w:type="spellStart"/>
      <w:r w:rsidR="008222CF" w:rsidRPr="00222DB2">
        <w:rPr>
          <w:i/>
          <w:iCs/>
          <w:lang w:val="uk-UA"/>
        </w:rPr>
        <w:t>see</w:t>
      </w:r>
      <w:proofErr w:type="spellEnd"/>
      <w:r w:rsidR="008222CF" w:rsidRPr="00222DB2">
        <w:rPr>
          <w:i/>
          <w:iCs/>
          <w:lang w:val="uk-UA"/>
        </w:rPr>
        <w:t xml:space="preserve"> «X</w:t>
      </w:r>
      <w:r w:rsidR="00591637">
        <w:rPr>
          <w:i/>
          <w:iCs/>
          <w:lang w:val="uk-UA"/>
        </w:rPr>
        <w:t>.</w:t>
      </w:r>
      <w:r w:rsidR="008222CF" w:rsidRPr="00222DB2">
        <w:rPr>
          <w:i/>
          <w:iCs/>
          <w:lang w:val="uk-UA"/>
        </w:rPr>
        <w:t xml:space="preserve"> and Others v. Bulgaria» [GC], № 22457/16</w:t>
      </w:r>
      <w:r w:rsidRPr="00222DB2">
        <w:rPr>
          <w:i/>
          <w:iCs/>
          <w:lang w:val="uk-UA"/>
        </w:rPr>
        <w:t xml:space="preserve">). </w:t>
      </w:r>
      <w:r w:rsidRPr="00222DB2">
        <w:rPr>
          <w:lang w:val="uk-UA"/>
        </w:rPr>
        <w:t>У таких випадках позитивні зобов’язання держави також містять вимоги, що стосуються ефективності кримінального розслідування</w:t>
      </w:r>
      <w:r w:rsidR="001924F4" w:rsidRPr="00222DB2">
        <w:rPr>
          <w:lang w:val="uk-UA"/>
        </w:rPr>
        <w:t xml:space="preserve"> </w:t>
      </w:r>
      <w:r w:rsidR="001924F4" w:rsidRPr="00222DB2">
        <w:rPr>
          <w:i/>
          <w:iCs/>
          <w:lang w:val="uk-UA"/>
        </w:rPr>
        <w:t>(</w:t>
      </w:r>
      <w:proofErr w:type="spellStart"/>
      <w:r w:rsidR="001924F4" w:rsidRPr="00222DB2">
        <w:rPr>
          <w:i/>
          <w:iCs/>
          <w:lang w:val="uk-UA"/>
        </w:rPr>
        <w:t>see</w:t>
      </w:r>
      <w:proofErr w:type="spellEnd"/>
      <w:r w:rsidR="001924F4" w:rsidRPr="00222DB2">
        <w:rPr>
          <w:i/>
          <w:iCs/>
          <w:lang w:val="uk-UA"/>
        </w:rPr>
        <w:t xml:space="preserve"> </w:t>
      </w:r>
      <w:r w:rsidR="008222CF" w:rsidRPr="00222DB2">
        <w:rPr>
          <w:i/>
          <w:iCs/>
          <w:lang w:val="uk-UA"/>
        </w:rPr>
        <w:t>«</w:t>
      </w:r>
      <w:r w:rsidR="001924F4" w:rsidRPr="00222DB2">
        <w:rPr>
          <w:i/>
          <w:iCs/>
          <w:lang w:val="uk-UA"/>
        </w:rPr>
        <w:t xml:space="preserve">Söderman, </w:t>
      </w:r>
      <w:proofErr w:type="spellStart"/>
      <w:r w:rsidR="001924F4" w:rsidRPr="00222DB2">
        <w:rPr>
          <w:i/>
          <w:iCs/>
          <w:lang w:val="uk-UA"/>
        </w:rPr>
        <w:t>cited</w:t>
      </w:r>
      <w:proofErr w:type="spellEnd"/>
      <w:r w:rsidR="001924F4" w:rsidRPr="00222DB2">
        <w:rPr>
          <w:i/>
          <w:iCs/>
          <w:lang w:val="uk-UA"/>
        </w:rPr>
        <w:t xml:space="preserve"> </w:t>
      </w:r>
      <w:proofErr w:type="spellStart"/>
      <w:r w:rsidR="001924F4" w:rsidRPr="00222DB2">
        <w:rPr>
          <w:i/>
          <w:iCs/>
          <w:lang w:val="uk-UA"/>
        </w:rPr>
        <w:t>above</w:t>
      </w:r>
      <w:proofErr w:type="spellEnd"/>
      <w:r w:rsidR="001924F4" w:rsidRPr="00222DB2">
        <w:rPr>
          <w:i/>
          <w:iCs/>
          <w:lang w:val="uk-UA"/>
        </w:rPr>
        <w:t xml:space="preserve">, </w:t>
      </w:r>
      <w:r w:rsidR="008222CF" w:rsidRPr="00222DB2">
        <w:rPr>
          <w:rFonts w:cstheme="minorHAnsi"/>
          <w:i/>
          <w:iCs/>
          <w:lang w:val="uk-UA"/>
        </w:rPr>
        <w:t>п.п.</w:t>
      </w:r>
      <w:r w:rsidR="001924F4" w:rsidRPr="00222DB2">
        <w:rPr>
          <w:i/>
          <w:iCs/>
          <w:lang w:val="uk-UA"/>
        </w:rPr>
        <w:t xml:space="preserve"> 82-83, with further </w:t>
      </w:r>
      <w:proofErr w:type="spellStart"/>
      <w:r w:rsidR="001924F4" w:rsidRPr="00222DB2">
        <w:rPr>
          <w:i/>
          <w:iCs/>
          <w:lang w:val="uk-UA"/>
        </w:rPr>
        <w:t>references</w:t>
      </w:r>
      <w:proofErr w:type="spellEnd"/>
      <w:r w:rsidR="008222CF" w:rsidRPr="00222DB2">
        <w:rPr>
          <w:i/>
          <w:iCs/>
          <w:lang w:val="uk-UA"/>
        </w:rPr>
        <w:t xml:space="preserve">) </w:t>
      </w:r>
      <w:r w:rsidR="008222CF" w:rsidRPr="00222DB2">
        <w:rPr>
          <w:lang w:val="uk-UA"/>
        </w:rPr>
        <w:t>(п. 79).</w:t>
      </w:r>
    </w:p>
    <w:p w14:paraId="5C20C098" w14:textId="6F897D9A" w:rsidR="008222CF" w:rsidRPr="00222DB2" w:rsidRDefault="008222CF" w:rsidP="008222CF">
      <w:pPr>
        <w:pStyle w:val="JuPara"/>
        <w:ind w:firstLine="0"/>
        <w:rPr>
          <w:lang w:val="uk-UA"/>
        </w:rPr>
      </w:pPr>
    </w:p>
    <w:p w14:paraId="4CB7B0A0" w14:textId="73A220B2" w:rsidR="008222CF" w:rsidRPr="00222DB2" w:rsidRDefault="008222CF" w:rsidP="008222CF">
      <w:pPr>
        <w:pStyle w:val="JuPara"/>
        <w:ind w:firstLine="0"/>
        <w:rPr>
          <w:i/>
          <w:iCs/>
          <w:lang w:val="uk-UA"/>
        </w:rPr>
      </w:pPr>
      <w:r w:rsidRPr="00222DB2">
        <w:rPr>
          <w:lang w:val="uk-UA"/>
        </w:rPr>
        <w:t xml:space="preserve">Суд встановлював, що ефективне розслідування в принципі повинно бути здатним привести до встановлення фактів справи, а також до ідентифікації та, якщо це можливо, покарання винних. Це не обов’язок результату, а натомість обов’язок вжиття засобів. Влада повинна вжити усіх можливих розумних заходів із забезпечення доказів, що стосуються інциденту, таких, зокрема, як показання свідків та висновки експертиз </w:t>
      </w:r>
      <w:r w:rsidRPr="00222DB2">
        <w:rPr>
          <w:i/>
          <w:iCs/>
          <w:lang w:val="uk-UA"/>
        </w:rPr>
        <w:t>(</w:t>
      </w:r>
      <w:proofErr w:type="spellStart"/>
      <w:r w:rsidRPr="00222DB2">
        <w:rPr>
          <w:i/>
          <w:iCs/>
          <w:lang w:val="uk-UA"/>
        </w:rPr>
        <w:t>see</w:t>
      </w:r>
      <w:proofErr w:type="spellEnd"/>
      <w:r w:rsidRPr="00222DB2">
        <w:rPr>
          <w:i/>
          <w:iCs/>
          <w:lang w:val="uk-UA"/>
        </w:rPr>
        <w:t xml:space="preserve"> «Z. v. Bulgaria», № 39257/17, п. 65)</w:t>
      </w:r>
      <w:r w:rsidRPr="00222DB2">
        <w:rPr>
          <w:lang w:val="uk-UA"/>
        </w:rPr>
        <w:t xml:space="preserve"> (п. 80).</w:t>
      </w:r>
    </w:p>
    <w:p w14:paraId="59B3CB7C" w14:textId="6192426A" w:rsidR="008222CF" w:rsidRPr="00222DB2" w:rsidRDefault="008222CF" w:rsidP="008222CF">
      <w:pPr>
        <w:pStyle w:val="JuPara"/>
        <w:ind w:firstLine="0"/>
        <w:rPr>
          <w:i/>
          <w:iCs/>
          <w:lang w:val="uk-UA"/>
        </w:rPr>
      </w:pPr>
    </w:p>
    <w:p w14:paraId="0BAA706A" w14:textId="21630564" w:rsidR="008222CF" w:rsidRPr="00222DB2" w:rsidRDefault="008222CF" w:rsidP="008222CF">
      <w:pPr>
        <w:pStyle w:val="JuPara"/>
        <w:ind w:firstLine="0"/>
        <w:rPr>
          <w:lang w:val="uk-UA"/>
        </w:rPr>
      </w:pPr>
      <w:r w:rsidRPr="00222DB2">
        <w:rPr>
          <w:lang w:val="uk-UA"/>
        </w:rPr>
        <w:t xml:space="preserve">Крім того, </w:t>
      </w:r>
      <w:r w:rsidR="009519E6" w:rsidRPr="00222DB2">
        <w:rPr>
          <w:lang w:val="uk-UA"/>
        </w:rPr>
        <w:t>якщо</w:t>
      </w:r>
      <w:r w:rsidRPr="00222DB2">
        <w:rPr>
          <w:lang w:val="uk-UA"/>
        </w:rPr>
        <w:t xml:space="preserve"> розслідування призводить до висунення обвинувачень </w:t>
      </w:r>
      <w:r w:rsidR="009519E6" w:rsidRPr="00222DB2">
        <w:rPr>
          <w:lang w:val="uk-UA"/>
        </w:rPr>
        <w:t>у</w:t>
      </w:r>
      <w:r w:rsidRPr="00222DB2">
        <w:rPr>
          <w:lang w:val="uk-UA"/>
        </w:rPr>
        <w:t xml:space="preserve"> національних суд</w:t>
      </w:r>
      <w:r w:rsidR="009519E6" w:rsidRPr="00222DB2">
        <w:rPr>
          <w:lang w:val="uk-UA"/>
        </w:rPr>
        <w:t>ах</w:t>
      </w:r>
      <w:r w:rsidRPr="00222DB2">
        <w:rPr>
          <w:lang w:val="uk-UA"/>
        </w:rPr>
        <w:t xml:space="preserve">, процесуальні зобов’язання щодо передбачуваного жорстокого поводження поширюються </w:t>
      </w:r>
      <w:r w:rsidR="008F58C4" w:rsidRPr="00222DB2">
        <w:rPr>
          <w:lang w:val="uk-UA"/>
        </w:rPr>
        <w:t xml:space="preserve">і </w:t>
      </w:r>
      <w:r w:rsidRPr="00222DB2">
        <w:rPr>
          <w:lang w:val="uk-UA"/>
        </w:rPr>
        <w:t xml:space="preserve">на стадію судового розгляду. У таких </w:t>
      </w:r>
      <w:r w:rsidRPr="00222DB2">
        <w:rPr>
          <w:lang w:val="uk-UA"/>
        </w:rPr>
        <w:lastRenderedPageBreak/>
        <w:t xml:space="preserve">випадках провадження в цілому, включаючи стадію судового розгляду, повинно задовольняти вимогам заборони жорстокого поводження </w:t>
      </w:r>
      <w:r w:rsidR="008F58C4" w:rsidRPr="00222DB2">
        <w:rPr>
          <w:i/>
          <w:iCs/>
          <w:lang w:val="uk-UA"/>
        </w:rPr>
        <w:t>(</w:t>
      </w:r>
      <w:proofErr w:type="spellStart"/>
      <w:r w:rsidR="008F58C4" w:rsidRPr="00222DB2">
        <w:rPr>
          <w:i/>
          <w:iCs/>
          <w:lang w:val="uk-UA"/>
        </w:rPr>
        <w:t>see</w:t>
      </w:r>
      <w:proofErr w:type="spellEnd"/>
      <w:r w:rsidR="008F58C4" w:rsidRPr="00222DB2">
        <w:rPr>
          <w:i/>
          <w:iCs/>
          <w:lang w:val="uk-UA"/>
        </w:rPr>
        <w:t xml:space="preserve"> «Z. v. Bulgaria», № 39257/17, п. 65)</w:t>
      </w:r>
      <w:r w:rsidR="008F58C4" w:rsidRPr="00222DB2">
        <w:rPr>
          <w:lang w:val="uk-UA"/>
        </w:rPr>
        <w:t xml:space="preserve">. </w:t>
      </w:r>
      <w:r w:rsidR="00197A94" w:rsidRPr="00222DB2">
        <w:rPr>
          <w:lang w:val="uk-UA"/>
        </w:rPr>
        <w:t>ЄСПЛ</w:t>
      </w:r>
      <w:r w:rsidRPr="00222DB2">
        <w:rPr>
          <w:lang w:val="uk-UA"/>
        </w:rPr>
        <w:t xml:space="preserve"> вже постанов</w:t>
      </w:r>
      <w:r w:rsidR="008F58C4" w:rsidRPr="00222DB2">
        <w:rPr>
          <w:lang w:val="uk-UA"/>
        </w:rPr>
        <w:t>л</w:t>
      </w:r>
      <w:r w:rsidR="00197A94" w:rsidRPr="00222DB2">
        <w:rPr>
          <w:lang w:val="uk-UA"/>
        </w:rPr>
        <w:t>я</w:t>
      </w:r>
      <w:r w:rsidR="008F58C4" w:rsidRPr="00222DB2">
        <w:rPr>
          <w:lang w:val="uk-UA"/>
        </w:rPr>
        <w:t>в,</w:t>
      </w:r>
      <w:r w:rsidRPr="00222DB2">
        <w:rPr>
          <w:lang w:val="uk-UA"/>
        </w:rPr>
        <w:t xml:space="preserve"> що, незалежно від остаточного результату провадження, механізми захисту, передбачені національним законодавством, мають діяти на практиці у спосіб, що дозволяє розглянути конкретн</w:t>
      </w:r>
      <w:r w:rsidR="009519E6" w:rsidRPr="00222DB2">
        <w:rPr>
          <w:lang w:val="uk-UA"/>
        </w:rPr>
        <w:t xml:space="preserve">у </w:t>
      </w:r>
      <w:r w:rsidRPr="00222DB2">
        <w:rPr>
          <w:lang w:val="uk-UA"/>
        </w:rPr>
        <w:t>справ</w:t>
      </w:r>
      <w:r w:rsidR="009519E6" w:rsidRPr="00222DB2">
        <w:rPr>
          <w:lang w:val="uk-UA"/>
        </w:rPr>
        <w:t>у по суті</w:t>
      </w:r>
      <w:r w:rsidRPr="00222DB2">
        <w:rPr>
          <w:lang w:val="uk-UA"/>
        </w:rPr>
        <w:t xml:space="preserve"> </w:t>
      </w:r>
      <w:r w:rsidR="009519E6" w:rsidRPr="00222DB2">
        <w:rPr>
          <w:lang w:val="uk-UA"/>
        </w:rPr>
        <w:t>упродовж</w:t>
      </w:r>
      <w:r w:rsidRPr="00222DB2">
        <w:rPr>
          <w:lang w:val="uk-UA"/>
        </w:rPr>
        <w:t xml:space="preserve"> розумного строку </w:t>
      </w:r>
      <w:r w:rsidRPr="00222DB2">
        <w:rPr>
          <w:i/>
          <w:iCs/>
          <w:lang w:val="uk-UA"/>
        </w:rPr>
        <w:t>(</w:t>
      </w:r>
      <w:proofErr w:type="spellStart"/>
      <w:r w:rsidRPr="00222DB2">
        <w:rPr>
          <w:i/>
          <w:iCs/>
          <w:lang w:val="uk-UA"/>
        </w:rPr>
        <w:t>see</w:t>
      </w:r>
      <w:proofErr w:type="spellEnd"/>
      <w:r w:rsidRPr="00222DB2">
        <w:rPr>
          <w:i/>
          <w:iCs/>
          <w:lang w:val="uk-UA"/>
        </w:rPr>
        <w:t xml:space="preserve"> «W. v. Slovenia», № 24125/06, п. 65) </w:t>
      </w:r>
      <w:r w:rsidRPr="00222DB2">
        <w:rPr>
          <w:lang w:val="uk-UA"/>
        </w:rPr>
        <w:t>(п. 81).</w:t>
      </w:r>
    </w:p>
    <w:p w14:paraId="4ABF588B" w14:textId="29B4B09A" w:rsidR="008222CF" w:rsidRPr="00222DB2" w:rsidRDefault="008222CF" w:rsidP="008222CF">
      <w:pPr>
        <w:pStyle w:val="JuPara"/>
        <w:ind w:firstLine="0"/>
        <w:rPr>
          <w:lang w:val="uk-UA"/>
        </w:rPr>
      </w:pPr>
    </w:p>
    <w:p w14:paraId="4946D9A3" w14:textId="068B82A7" w:rsidR="009519E6" w:rsidRPr="00222DB2" w:rsidRDefault="009519E6" w:rsidP="009519E6">
      <w:pPr>
        <w:pStyle w:val="JuPara"/>
        <w:ind w:firstLine="0"/>
        <w:rPr>
          <w:lang w:val="uk-UA"/>
        </w:rPr>
      </w:pPr>
      <w:r w:rsidRPr="00222DB2">
        <w:rPr>
          <w:lang w:val="uk-UA"/>
        </w:rPr>
        <w:t>Водночас</w:t>
      </w:r>
      <w:r w:rsidR="008222CF" w:rsidRPr="00222DB2">
        <w:rPr>
          <w:lang w:val="uk-UA"/>
        </w:rPr>
        <w:t xml:space="preserve"> </w:t>
      </w:r>
      <w:r w:rsidRPr="00222DB2">
        <w:rPr>
          <w:lang w:val="uk-UA"/>
        </w:rPr>
        <w:t xml:space="preserve">не існує абсолютного права </w:t>
      </w:r>
      <w:r w:rsidR="00197A94" w:rsidRPr="00222DB2">
        <w:rPr>
          <w:lang w:val="uk-UA"/>
        </w:rPr>
        <w:t>на</w:t>
      </w:r>
      <w:r w:rsidRPr="00222DB2">
        <w:rPr>
          <w:lang w:val="uk-UA"/>
        </w:rPr>
        <w:t xml:space="preserve"> кримінальне переслідування або </w:t>
      </w:r>
      <w:r w:rsidR="00197A94" w:rsidRPr="00222DB2">
        <w:rPr>
          <w:lang w:val="uk-UA"/>
        </w:rPr>
        <w:t xml:space="preserve">на </w:t>
      </w:r>
      <w:r w:rsidRPr="00222DB2">
        <w:rPr>
          <w:lang w:val="uk-UA"/>
        </w:rPr>
        <w:t xml:space="preserve">засудження будь-якої конкретної особи, якщо не було вчинено умисних чи з необережності помилок під час притягнення до відповідальності тих, хто вчинив кримінальні правопорушення </w:t>
      </w:r>
      <w:r w:rsidR="008222CF" w:rsidRPr="00222DB2">
        <w:rPr>
          <w:i/>
          <w:iCs/>
          <w:lang w:val="uk-UA"/>
        </w:rPr>
        <w:t>(</w:t>
      </w:r>
      <w:proofErr w:type="spellStart"/>
      <w:r w:rsidR="008222CF" w:rsidRPr="00222DB2">
        <w:rPr>
          <w:i/>
          <w:iCs/>
          <w:lang w:val="uk-UA"/>
        </w:rPr>
        <w:t>see</w:t>
      </w:r>
      <w:proofErr w:type="spellEnd"/>
      <w:r w:rsidR="008222CF" w:rsidRPr="00222DB2">
        <w:rPr>
          <w:i/>
          <w:iCs/>
          <w:lang w:val="uk-UA"/>
        </w:rPr>
        <w:t xml:space="preserve"> «Söderman», </w:t>
      </w:r>
      <w:proofErr w:type="spellStart"/>
      <w:r w:rsidR="008222CF" w:rsidRPr="00222DB2">
        <w:rPr>
          <w:i/>
          <w:iCs/>
          <w:lang w:val="uk-UA"/>
        </w:rPr>
        <w:t>cited</w:t>
      </w:r>
      <w:proofErr w:type="spellEnd"/>
      <w:r w:rsidR="008222CF" w:rsidRPr="00222DB2">
        <w:rPr>
          <w:i/>
          <w:iCs/>
          <w:lang w:val="uk-UA"/>
        </w:rPr>
        <w:t xml:space="preserve"> </w:t>
      </w:r>
      <w:proofErr w:type="spellStart"/>
      <w:r w:rsidR="008222CF" w:rsidRPr="00222DB2">
        <w:rPr>
          <w:i/>
          <w:iCs/>
          <w:lang w:val="uk-UA"/>
        </w:rPr>
        <w:t>above</w:t>
      </w:r>
      <w:proofErr w:type="spellEnd"/>
      <w:r w:rsidR="008222CF" w:rsidRPr="00222DB2">
        <w:rPr>
          <w:i/>
          <w:iCs/>
          <w:lang w:val="uk-UA"/>
        </w:rPr>
        <w:t>, п. 83)</w:t>
      </w:r>
      <w:r w:rsidR="008222CF" w:rsidRPr="00222DB2">
        <w:rPr>
          <w:lang w:val="uk-UA"/>
        </w:rPr>
        <w:t xml:space="preserve"> (п. 82).</w:t>
      </w:r>
    </w:p>
    <w:p w14:paraId="3D359F8D" w14:textId="77777777" w:rsidR="009519E6" w:rsidRPr="00222DB2" w:rsidRDefault="009519E6" w:rsidP="009519E6">
      <w:pPr>
        <w:pStyle w:val="JuPara"/>
        <w:ind w:firstLine="0"/>
        <w:rPr>
          <w:lang w:val="uk-UA"/>
        </w:rPr>
      </w:pPr>
    </w:p>
    <w:p w14:paraId="2DFD3E94" w14:textId="16C0A790" w:rsidR="009519E6" w:rsidRPr="00222DB2" w:rsidRDefault="00197A94" w:rsidP="009519E6">
      <w:pPr>
        <w:pStyle w:val="JuPara"/>
        <w:ind w:firstLine="0"/>
        <w:rPr>
          <w:lang w:val="uk-UA"/>
        </w:rPr>
      </w:pPr>
      <w:r w:rsidRPr="00222DB2">
        <w:rPr>
          <w:lang w:val="uk-UA"/>
        </w:rPr>
        <w:t>ЄСПЛ</w:t>
      </w:r>
      <w:r w:rsidR="009519E6" w:rsidRPr="00222DB2">
        <w:rPr>
          <w:lang w:val="uk-UA"/>
        </w:rPr>
        <w:t xml:space="preserve"> повторює, що зобов’язання</w:t>
      </w:r>
      <w:r w:rsidR="005C0C1E" w:rsidRPr="00222DB2">
        <w:rPr>
          <w:lang w:val="uk-UA"/>
        </w:rPr>
        <w:t xml:space="preserve"> </w:t>
      </w:r>
      <w:r w:rsidR="009519E6" w:rsidRPr="00222DB2">
        <w:rPr>
          <w:lang w:val="uk-UA"/>
        </w:rPr>
        <w:t>держав</w:t>
      </w:r>
      <w:r w:rsidR="005C0C1E" w:rsidRPr="00222DB2">
        <w:rPr>
          <w:lang w:val="uk-UA"/>
        </w:rPr>
        <w:t xml:space="preserve">и </w:t>
      </w:r>
      <w:r w:rsidR="009519E6" w:rsidRPr="00222DB2">
        <w:rPr>
          <w:lang w:val="uk-UA"/>
        </w:rPr>
        <w:t>з</w:t>
      </w:r>
      <w:r w:rsidR="005C0C1E" w:rsidRPr="00222DB2">
        <w:rPr>
          <w:lang w:val="uk-UA"/>
        </w:rPr>
        <w:t>а</w:t>
      </w:r>
      <w:r w:rsidR="009519E6" w:rsidRPr="00222DB2">
        <w:rPr>
          <w:lang w:val="uk-UA"/>
        </w:rPr>
        <w:t xml:space="preserve"> ст. 3 і ст. 8 Конвенції у справах про стверджуване сексуальне насильство над дітьми вимагають поваги до найкращих інтересів дитини. Право на людську гідність та психологічну недоторканність потребує особливої уваги, якщо дитина є жертвою насильства </w:t>
      </w:r>
      <w:r w:rsidR="009519E6" w:rsidRPr="00222DB2">
        <w:rPr>
          <w:i/>
          <w:iCs/>
          <w:lang w:val="uk-UA"/>
        </w:rPr>
        <w:t>(</w:t>
      </w:r>
      <w:proofErr w:type="spellStart"/>
      <w:r w:rsidR="009519E6" w:rsidRPr="00222DB2">
        <w:rPr>
          <w:i/>
          <w:iCs/>
          <w:lang w:val="uk-UA"/>
        </w:rPr>
        <w:t>see</w:t>
      </w:r>
      <w:proofErr w:type="spellEnd"/>
      <w:r w:rsidR="009519E6" w:rsidRPr="00222DB2">
        <w:rPr>
          <w:i/>
          <w:iCs/>
          <w:lang w:val="uk-UA"/>
        </w:rPr>
        <w:t xml:space="preserve"> «M.M.B. v. </w:t>
      </w:r>
      <w:proofErr w:type="spellStart"/>
      <w:r w:rsidR="009519E6" w:rsidRPr="00222DB2">
        <w:rPr>
          <w:i/>
          <w:iCs/>
          <w:lang w:val="uk-UA"/>
        </w:rPr>
        <w:t>Slovakia</w:t>
      </w:r>
      <w:proofErr w:type="spellEnd"/>
      <w:r w:rsidR="009519E6" w:rsidRPr="00222DB2">
        <w:rPr>
          <w:i/>
          <w:iCs/>
          <w:lang w:val="uk-UA"/>
        </w:rPr>
        <w:t xml:space="preserve">», № 6318/17, </w:t>
      </w:r>
      <w:r w:rsidR="005A1B77" w:rsidRPr="00222DB2">
        <w:rPr>
          <w:rFonts w:cstheme="minorHAnsi"/>
          <w:i/>
          <w:iCs/>
          <w:lang w:val="uk-UA"/>
        </w:rPr>
        <w:t>п.</w:t>
      </w:r>
      <w:r w:rsidR="009519E6" w:rsidRPr="00222DB2">
        <w:rPr>
          <w:i/>
          <w:iCs/>
          <w:lang w:val="uk-UA"/>
        </w:rPr>
        <w:t> 61; «C.A.S. and C.S. v. Romania», № 26692/05, п. 82).</w:t>
      </w:r>
      <w:r w:rsidR="009519E6" w:rsidRPr="00222DB2">
        <w:rPr>
          <w:lang w:val="uk-UA"/>
        </w:rPr>
        <w:t xml:space="preserve"> Суд також наголошував, що на державах лежить обов’язок </w:t>
      </w:r>
      <w:r w:rsidR="005C0C1E" w:rsidRPr="00222DB2">
        <w:rPr>
          <w:lang w:val="uk-UA"/>
        </w:rPr>
        <w:t>запровадити</w:t>
      </w:r>
      <w:r w:rsidR="009519E6" w:rsidRPr="00222DB2">
        <w:rPr>
          <w:lang w:val="uk-UA"/>
        </w:rPr>
        <w:t xml:space="preserve"> процесуальні правила, що гарантують та захищають свідчення дітей </w:t>
      </w:r>
      <w:r w:rsidR="009519E6" w:rsidRPr="00222DB2">
        <w:rPr>
          <w:i/>
          <w:iCs/>
          <w:lang w:val="uk-UA"/>
        </w:rPr>
        <w:t>(</w:t>
      </w:r>
      <w:proofErr w:type="spellStart"/>
      <w:r w:rsidR="009519E6" w:rsidRPr="00222DB2">
        <w:rPr>
          <w:i/>
          <w:iCs/>
          <w:lang w:val="uk-UA"/>
        </w:rPr>
        <w:t>see</w:t>
      </w:r>
      <w:proofErr w:type="spellEnd"/>
      <w:r w:rsidR="009519E6" w:rsidRPr="00222DB2">
        <w:rPr>
          <w:i/>
          <w:iCs/>
          <w:lang w:val="uk-UA"/>
        </w:rPr>
        <w:t xml:space="preserve"> «G.U. v. Turkey», № 16143/10, </w:t>
      </w:r>
      <w:r w:rsidR="009519E6" w:rsidRPr="00222DB2">
        <w:rPr>
          <w:rFonts w:cstheme="minorHAnsi"/>
          <w:i/>
          <w:iCs/>
          <w:lang w:val="uk-UA"/>
        </w:rPr>
        <w:t>п.</w:t>
      </w:r>
      <w:r w:rsidR="009519E6" w:rsidRPr="00222DB2">
        <w:rPr>
          <w:i/>
          <w:iCs/>
          <w:lang w:val="uk-UA"/>
        </w:rPr>
        <w:t xml:space="preserve"> 73)</w:t>
      </w:r>
      <w:r w:rsidR="009519E6" w:rsidRPr="00222DB2">
        <w:rPr>
          <w:lang w:val="uk-UA"/>
        </w:rPr>
        <w:t xml:space="preserve"> (п. 83).</w:t>
      </w:r>
    </w:p>
    <w:p w14:paraId="740B2E87" w14:textId="1E5E9F26" w:rsidR="009519E6" w:rsidRPr="00222DB2" w:rsidRDefault="009519E6" w:rsidP="009519E6">
      <w:pPr>
        <w:pStyle w:val="JuPara"/>
        <w:ind w:firstLine="0"/>
        <w:rPr>
          <w:lang w:val="uk-UA"/>
        </w:rPr>
      </w:pPr>
    </w:p>
    <w:p w14:paraId="2F0C461A" w14:textId="7B792544" w:rsidR="005C0C1E" w:rsidRPr="00222DB2" w:rsidRDefault="005C0C1E" w:rsidP="009519E6">
      <w:pPr>
        <w:pStyle w:val="JuPara"/>
        <w:ind w:firstLine="0"/>
        <w:rPr>
          <w:lang w:val="uk-UA"/>
        </w:rPr>
      </w:pPr>
      <w:r w:rsidRPr="00222DB2">
        <w:rPr>
          <w:lang w:val="uk-UA"/>
        </w:rPr>
        <w:t xml:space="preserve">З огляду на викладене вище, держави відповідно до ст. 3 і ст. 8 Конвенції зобов’язані </w:t>
      </w:r>
      <w:r w:rsidR="00197A94" w:rsidRPr="00222DB2">
        <w:rPr>
          <w:lang w:val="uk-UA"/>
        </w:rPr>
        <w:t>запровадити</w:t>
      </w:r>
      <w:r w:rsidRPr="00222DB2">
        <w:rPr>
          <w:lang w:val="uk-UA"/>
        </w:rPr>
        <w:t xml:space="preserve"> положення, що </w:t>
      </w:r>
      <w:proofErr w:type="spellStart"/>
      <w:r w:rsidRPr="00222DB2">
        <w:rPr>
          <w:lang w:val="uk-UA"/>
        </w:rPr>
        <w:t>криміналізують</w:t>
      </w:r>
      <w:proofErr w:type="spellEnd"/>
      <w:r w:rsidRPr="00222DB2">
        <w:rPr>
          <w:lang w:val="uk-UA"/>
        </w:rPr>
        <w:t xml:space="preserve"> сексуальне насильство над дітьми, та застосовувати їх на практиці шляхом ефективного розслідування та судового переслідування, беручи до уваги особливу вразливість дітей, їх гідність та їх права як дітей та як жертв </w:t>
      </w:r>
      <w:r w:rsidRPr="00222DB2">
        <w:rPr>
          <w:i/>
          <w:iCs/>
          <w:lang w:val="uk-UA"/>
        </w:rPr>
        <w:t>(</w:t>
      </w:r>
      <w:proofErr w:type="spellStart"/>
      <w:r w:rsidRPr="00222DB2">
        <w:rPr>
          <w:i/>
          <w:iCs/>
          <w:lang w:val="uk-UA"/>
        </w:rPr>
        <w:t>see</w:t>
      </w:r>
      <w:proofErr w:type="spellEnd"/>
      <w:r w:rsidRPr="00222DB2">
        <w:rPr>
          <w:i/>
          <w:iCs/>
          <w:lang w:val="uk-UA"/>
        </w:rPr>
        <w:t xml:space="preserve"> «Z v. Bulgaria», </w:t>
      </w:r>
      <w:r w:rsidRPr="00222DB2">
        <w:rPr>
          <w:rFonts w:cstheme="minorHAnsi"/>
          <w:i/>
          <w:iCs/>
          <w:lang w:val="uk-UA"/>
        </w:rPr>
        <w:t>п.</w:t>
      </w:r>
      <w:r w:rsidRPr="00222DB2">
        <w:rPr>
          <w:i/>
          <w:iCs/>
          <w:lang w:val="uk-UA"/>
        </w:rPr>
        <w:t xml:space="preserve"> 70; «A and B v. Croatia», </w:t>
      </w:r>
      <w:r w:rsidRPr="00222DB2">
        <w:rPr>
          <w:rFonts w:cstheme="minorHAnsi"/>
          <w:i/>
          <w:iCs/>
          <w:lang w:val="uk-UA"/>
        </w:rPr>
        <w:t>п</w:t>
      </w:r>
      <w:r w:rsidRPr="00222DB2">
        <w:rPr>
          <w:i/>
          <w:iCs/>
          <w:lang w:val="uk-UA"/>
        </w:rPr>
        <w:t xml:space="preserve"> 112, </w:t>
      </w:r>
      <w:proofErr w:type="spellStart"/>
      <w:r w:rsidRPr="00222DB2">
        <w:rPr>
          <w:i/>
          <w:iCs/>
          <w:lang w:val="uk-UA"/>
        </w:rPr>
        <w:t>both</w:t>
      </w:r>
      <w:proofErr w:type="spellEnd"/>
      <w:r w:rsidRPr="00222DB2">
        <w:rPr>
          <w:i/>
          <w:iCs/>
          <w:lang w:val="uk-UA"/>
        </w:rPr>
        <w:t xml:space="preserve"> </w:t>
      </w:r>
      <w:proofErr w:type="spellStart"/>
      <w:r w:rsidRPr="00222DB2">
        <w:rPr>
          <w:i/>
          <w:iCs/>
          <w:lang w:val="uk-UA"/>
        </w:rPr>
        <w:t>cited</w:t>
      </w:r>
      <w:proofErr w:type="spellEnd"/>
      <w:r w:rsidRPr="00222DB2">
        <w:rPr>
          <w:i/>
          <w:iCs/>
          <w:lang w:val="uk-UA"/>
        </w:rPr>
        <w:t xml:space="preserve"> </w:t>
      </w:r>
      <w:proofErr w:type="spellStart"/>
      <w:r w:rsidRPr="00222DB2">
        <w:rPr>
          <w:i/>
          <w:iCs/>
          <w:lang w:val="uk-UA"/>
        </w:rPr>
        <w:t>above</w:t>
      </w:r>
      <w:proofErr w:type="spellEnd"/>
      <w:r w:rsidRPr="00222DB2">
        <w:rPr>
          <w:i/>
          <w:iCs/>
          <w:lang w:val="uk-UA"/>
        </w:rPr>
        <w:t xml:space="preserve">). </w:t>
      </w:r>
      <w:r w:rsidRPr="00222DB2">
        <w:rPr>
          <w:lang w:val="uk-UA"/>
        </w:rPr>
        <w:t xml:space="preserve">Ці зобов’язання також випливають з інших міжнародних документів, таких як </w:t>
      </w:r>
      <w:r w:rsidRPr="00222DB2">
        <w:rPr>
          <w:i/>
          <w:lang w:val="uk-UA"/>
        </w:rPr>
        <w:t>inter alia</w:t>
      </w:r>
      <w:r w:rsidRPr="00222DB2">
        <w:rPr>
          <w:lang w:val="uk-UA"/>
        </w:rPr>
        <w:t xml:space="preserve"> Конвенція ООН про права дитини та Лансаротська конвенція </w:t>
      </w:r>
      <w:r w:rsidRPr="00222DB2">
        <w:rPr>
          <w:i/>
          <w:iCs/>
          <w:lang w:val="uk-UA"/>
        </w:rPr>
        <w:t xml:space="preserve">(п.п. 49-50). </w:t>
      </w:r>
      <w:r w:rsidRPr="00222DB2">
        <w:rPr>
          <w:lang w:val="uk-UA"/>
        </w:rPr>
        <w:t>При</w:t>
      </w:r>
      <w:r w:rsidRPr="00222DB2">
        <w:rPr>
          <w:i/>
          <w:iCs/>
          <w:lang w:val="uk-UA"/>
        </w:rPr>
        <w:t xml:space="preserve"> </w:t>
      </w:r>
      <w:r w:rsidRPr="00222DB2">
        <w:rPr>
          <w:lang w:val="uk-UA"/>
        </w:rPr>
        <w:t xml:space="preserve">тлумаченні зобов’язань держави, зазначених вище, Суд враховує відповідні норми та принципи міжнародного права, а також документи органів Ради Європи, що мають характер рекомендацій </w:t>
      </w:r>
      <w:r w:rsidRPr="00222DB2">
        <w:rPr>
          <w:i/>
          <w:iCs/>
          <w:lang w:val="uk-UA"/>
        </w:rPr>
        <w:t>(</w:t>
      </w:r>
      <w:proofErr w:type="spellStart"/>
      <w:r w:rsidRPr="00222DB2">
        <w:rPr>
          <w:i/>
          <w:iCs/>
          <w:lang w:val="uk-UA"/>
        </w:rPr>
        <w:t>see</w:t>
      </w:r>
      <w:proofErr w:type="spellEnd"/>
      <w:r w:rsidRPr="00222DB2">
        <w:rPr>
          <w:i/>
          <w:iCs/>
          <w:lang w:val="uk-UA"/>
        </w:rPr>
        <w:t xml:space="preserve"> «</w:t>
      </w:r>
      <w:proofErr w:type="spellStart"/>
      <w:r w:rsidRPr="00222DB2">
        <w:rPr>
          <w:i/>
          <w:iCs/>
          <w:lang w:val="uk-UA"/>
        </w:rPr>
        <w:t>Demir</w:t>
      </w:r>
      <w:proofErr w:type="spellEnd"/>
      <w:r w:rsidRPr="00222DB2">
        <w:rPr>
          <w:i/>
          <w:iCs/>
          <w:lang w:val="uk-UA"/>
        </w:rPr>
        <w:t xml:space="preserve"> and </w:t>
      </w:r>
      <w:proofErr w:type="spellStart"/>
      <w:r w:rsidRPr="00222DB2">
        <w:rPr>
          <w:i/>
          <w:iCs/>
          <w:lang w:val="uk-UA"/>
        </w:rPr>
        <w:t>Baykara</w:t>
      </w:r>
      <w:proofErr w:type="spellEnd"/>
      <w:r w:rsidRPr="00222DB2">
        <w:rPr>
          <w:i/>
          <w:iCs/>
          <w:lang w:val="uk-UA"/>
        </w:rPr>
        <w:t xml:space="preserve"> v. Turkey» [GC], № 34503/97, п</w:t>
      </w:r>
      <w:r w:rsidR="00197A94" w:rsidRPr="00222DB2">
        <w:rPr>
          <w:i/>
          <w:iCs/>
          <w:lang w:val="uk-UA"/>
        </w:rPr>
        <w:t>.</w:t>
      </w:r>
      <w:r w:rsidRPr="00222DB2">
        <w:rPr>
          <w:i/>
          <w:iCs/>
          <w:lang w:val="uk-UA"/>
        </w:rPr>
        <w:t xml:space="preserve"> 69, п. 74; «X and Others v. Bulgaria», </w:t>
      </w:r>
      <w:proofErr w:type="spellStart"/>
      <w:r w:rsidRPr="00222DB2">
        <w:rPr>
          <w:i/>
          <w:iCs/>
          <w:lang w:val="uk-UA"/>
        </w:rPr>
        <w:t>cited</w:t>
      </w:r>
      <w:proofErr w:type="spellEnd"/>
      <w:r w:rsidRPr="00222DB2">
        <w:rPr>
          <w:i/>
          <w:iCs/>
          <w:lang w:val="uk-UA"/>
        </w:rPr>
        <w:t xml:space="preserve"> </w:t>
      </w:r>
      <w:proofErr w:type="spellStart"/>
      <w:r w:rsidRPr="00222DB2">
        <w:rPr>
          <w:i/>
          <w:iCs/>
          <w:lang w:val="uk-UA"/>
        </w:rPr>
        <w:t>above</w:t>
      </w:r>
      <w:proofErr w:type="spellEnd"/>
      <w:r w:rsidRPr="00222DB2">
        <w:rPr>
          <w:i/>
          <w:iCs/>
          <w:lang w:val="uk-UA"/>
        </w:rPr>
        <w:t xml:space="preserve">, п. 179, п. 192) </w:t>
      </w:r>
      <w:r w:rsidRPr="00222DB2">
        <w:rPr>
          <w:lang w:val="uk-UA"/>
        </w:rPr>
        <w:t>(п. 84).</w:t>
      </w:r>
    </w:p>
    <w:p w14:paraId="40A24CAC" w14:textId="2D64337C" w:rsidR="005C0C1E" w:rsidRPr="00222DB2" w:rsidRDefault="005C0C1E" w:rsidP="009519E6">
      <w:pPr>
        <w:pStyle w:val="JuPara"/>
        <w:ind w:firstLine="0"/>
        <w:rPr>
          <w:lang w:val="uk-UA"/>
        </w:rPr>
      </w:pPr>
    </w:p>
    <w:p w14:paraId="7817DD15" w14:textId="43B061A3" w:rsidR="005C0C1E" w:rsidRPr="00222DB2" w:rsidRDefault="005C0C1E" w:rsidP="009519E6">
      <w:pPr>
        <w:pStyle w:val="JuPara"/>
        <w:ind w:firstLine="0"/>
        <w:rPr>
          <w:b/>
          <w:bCs/>
          <w:lang w:val="uk-UA"/>
        </w:rPr>
      </w:pPr>
      <w:r w:rsidRPr="00222DB2">
        <w:rPr>
          <w:b/>
          <w:bCs/>
          <w:lang w:val="uk-UA"/>
        </w:rPr>
        <w:t>Застосування вказаних принципів до цієї справи</w:t>
      </w:r>
    </w:p>
    <w:p w14:paraId="609E936A" w14:textId="77777777" w:rsidR="00791109" w:rsidRPr="00222DB2" w:rsidRDefault="00791109" w:rsidP="009519E6">
      <w:pPr>
        <w:pStyle w:val="JuPara"/>
        <w:ind w:firstLine="0"/>
        <w:rPr>
          <w:b/>
          <w:bCs/>
          <w:lang w:val="uk-UA"/>
        </w:rPr>
      </w:pPr>
    </w:p>
    <w:p w14:paraId="2AB97BDC" w14:textId="3FD5F940" w:rsidR="005C0C1E" w:rsidRPr="00222DB2" w:rsidRDefault="005C0C1E" w:rsidP="005C0C1E">
      <w:pPr>
        <w:pStyle w:val="JuPara"/>
        <w:ind w:firstLine="0"/>
        <w:rPr>
          <w:lang w:val="uk-UA"/>
        </w:rPr>
      </w:pPr>
      <w:r w:rsidRPr="00222DB2">
        <w:rPr>
          <w:lang w:val="uk-UA"/>
        </w:rPr>
        <w:t xml:space="preserve">У цій справі немає жодного сумніву, що </w:t>
      </w:r>
      <w:r w:rsidR="0039032E" w:rsidRPr="00222DB2">
        <w:rPr>
          <w:lang w:val="uk-UA"/>
        </w:rPr>
        <w:t>стверджуване</w:t>
      </w:r>
      <w:r w:rsidRPr="00222DB2">
        <w:rPr>
          <w:lang w:val="uk-UA"/>
        </w:rPr>
        <w:t xml:space="preserve"> сексуальне насильство щодо заявника підпадає під сферу застосування ст</w:t>
      </w:r>
      <w:r w:rsidR="0039032E" w:rsidRPr="00222DB2">
        <w:rPr>
          <w:lang w:val="uk-UA"/>
        </w:rPr>
        <w:t>.</w:t>
      </w:r>
      <w:r w:rsidRPr="00222DB2">
        <w:rPr>
          <w:lang w:val="uk-UA"/>
        </w:rPr>
        <w:t xml:space="preserve"> 3 </w:t>
      </w:r>
      <w:r w:rsidR="0039032E" w:rsidRPr="00222DB2">
        <w:rPr>
          <w:lang w:val="uk-UA"/>
        </w:rPr>
        <w:t>і ст.</w:t>
      </w:r>
      <w:r w:rsidRPr="00222DB2">
        <w:rPr>
          <w:lang w:val="uk-UA"/>
        </w:rPr>
        <w:t xml:space="preserve"> 8 Конвенції, </w:t>
      </w:r>
      <w:r w:rsidR="0039032E" w:rsidRPr="00222DB2">
        <w:rPr>
          <w:lang w:val="uk-UA"/>
        </w:rPr>
        <w:t xml:space="preserve">що поклало на державу </w:t>
      </w:r>
      <w:r w:rsidRPr="00222DB2">
        <w:rPr>
          <w:lang w:val="uk-UA"/>
        </w:rPr>
        <w:t xml:space="preserve">позитивні зобов’язання </w:t>
      </w:r>
      <w:r w:rsidR="0039032E" w:rsidRPr="00222DB2">
        <w:rPr>
          <w:lang w:val="uk-UA"/>
        </w:rPr>
        <w:t>запровадити</w:t>
      </w:r>
      <w:r w:rsidRPr="00222DB2">
        <w:rPr>
          <w:lang w:val="uk-UA"/>
        </w:rPr>
        <w:t xml:space="preserve"> кримінально-правові положення, </w:t>
      </w:r>
      <w:r w:rsidR="0039032E" w:rsidRPr="00222DB2">
        <w:rPr>
          <w:lang w:val="uk-UA"/>
        </w:rPr>
        <w:t>що</w:t>
      </w:r>
      <w:r w:rsidRPr="00222DB2">
        <w:rPr>
          <w:lang w:val="uk-UA"/>
        </w:rPr>
        <w:t xml:space="preserve"> ефективно карають сексуальне насильство над дітьми та застосовувати їх на практиці шляхом ефективного розслідування та судового переслідування (п. 85).</w:t>
      </w:r>
    </w:p>
    <w:p w14:paraId="34C6F8E3" w14:textId="5046DB67" w:rsidR="005C0C1E" w:rsidRPr="00222DB2" w:rsidRDefault="005C0C1E" w:rsidP="005C0C1E">
      <w:pPr>
        <w:pStyle w:val="JuPara"/>
        <w:ind w:firstLine="0"/>
        <w:rPr>
          <w:lang w:val="uk-UA"/>
        </w:rPr>
      </w:pPr>
    </w:p>
    <w:p w14:paraId="28D179DF" w14:textId="2FDB5FAD" w:rsidR="005C0C1E" w:rsidRPr="00222DB2" w:rsidRDefault="005C0C1E" w:rsidP="005C0C1E">
      <w:pPr>
        <w:pStyle w:val="JuPara"/>
        <w:ind w:firstLine="0"/>
        <w:rPr>
          <w:lang w:val="uk-UA"/>
        </w:rPr>
      </w:pPr>
      <w:r w:rsidRPr="00222DB2">
        <w:rPr>
          <w:lang w:val="uk-UA"/>
        </w:rPr>
        <w:t xml:space="preserve">Також не заперечується, що кримінальне законодавство забороняло сексуальне насильство, про яке </w:t>
      </w:r>
      <w:r w:rsidR="0039032E" w:rsidRPr="00222DB2">
        <w:rPr>
          <w:lang w:val="uk-UA"/>
        </w:rPr>
        <w:t>стверджувала</w:t>
      </w:r>
      <w:r w:rsidRPr="00222DB2">
        <w:rPr>
          <w:lang w:val="uk-UA"/>
        </w:rPr>
        <w:t xml:space="preserve"> заявни</w:t>
      </w:r>
      <w:r w:rsidR="0039032E" w:rsidRPr="00222DB2">
        <w:rPr>
          <w:lang w:val="uk-UA"/>
        </w:rPr>
        <w:t>ця</w:t>
      </w:r>
      <w:r w:rsidRPr="00222DB2">
        <w:rPr>
          <w:lang w:val="uk-UA"/>
        </w:rPr>
        <w:t>, і передбачало кримінальне переслідування винних. Дійсно, заяви заявни</w:t>
      </w:r>
      <w:r w:rsidR="0039032E" w:rsidRPr="00222DB2">
        <w:rPr>
          <w:lang w:val="uk-UA"/>
        </w:rPr>
        <w:t>ці</w:t>
      </w:r>
      <w:r w:rsidRPr="00222DB2">
        <w:rPr>
          <w:lang w:val="uk-UA"/>
        </w:rPr>
        <w:t xml:space="preserve"> стали підставою для відкриття кримінального розслідування відповідно до відповідних положень </w:t>
      </w:r>
      <w:r w:rsidR="0039032E" w:rsidRPr="00222DB2">
        <w:rPr>
          <w:lang w:val="uk-UA"/>
        </w:rPr>
        <w:t>КК</w:t>
      </w:r>
      <w:r w:rsidRPr="00222DB2">
        <w:rPr>
          <w:lang w:val="uk-UA"/>
        </w:rPr>
        <w:t xml:space="preserve"> та притягнення до кримінальної відповідальності та суду над підозрюваним злочинцем (п. 86).</w:t>
      </w:r>
    </w:p>
    <w:p w14:paraId="48365196" w14:textId="66E4B0B2" w:rsidR="005C0C1E" w:rsidRPr="00222DB2" w:rsidRDefault="005C0C1E" w:rsidP="005C0C1E">
      <w:pPr>
        <w:pStyle w:val="JuPara"/>
        <w:ind w:firstLine="0"/>
        <w:rPr>
          <w:lang w:val="uk-UA"/>
        </w:rPr>
      </w:pPr>
    </w:p>
    <w:p w14:paraId="0B977365" w14:textId="3D4D4964" w:rsidR="005C0C1E" w:rsidRPr="00222DB2" w:rsidRDefault="005C0C1E" w:rsidP="005C0C1E">
      <w:pPr>
        <w:pStyle w:val="JuPara"/>
        <w:ind w:firstLine="0"/>
        <w:rPr>
          <w:lang w:val="uk-UA"/>
        </w:rPr>
      </w:pPr>
      <w:r w:rsidRPr="00222DB2">
        <w:rPr>
          <w:lang w:val="uk-UA"/>
        </w:rPr>
        <w:t xml:space="preserve">Таким чином, Суд повинен перевірити, чи було застосування кримінально-правових норм на практиці шляхом розслідування кримінального провадження та судового переслідування було </w:t>
      </w:r>
      <w:r w:rsidR="0039032E" w:rsidRPr="00222DB2">
        <w:rPr>
          <w:lang w:val="uk-UA"/>
        </w:rPr>
        <w:t>неналежним</w:t>
      </w:r>
      <w:r w:rsidR="00C65704" w:rsidRPr="00222DB2">
        <w:rPr>
          <w:lang w:val="uk-UA"/>
        </w:rPr>
        <w:t xml:space="preserve"> настільки</w:t>
      </w:r>
      <w:r w:rsidR="0039032E" w:rsidRPr="00222DB2">
        <w:rPr>
          <w:lang w:val="uk-UA"/>
        </w:rPr>
        <w:t xml:space="preserve">, що </w:t>
      </w:r>
      <w:r w:rsidR="00C65704" w:rsidRPr="00222DB2">
        <w:rPr>
          <w:lang w:val="uk-UA"/>
        </w:rPr>
        <w:t xml:space="preserve">це </w:t>
      </w:r>
      <w:r w:rsidR="0039032E" w:rsidRPr="00222DB2">
        <w:rPr>
          <w:lang w:val="uk-UA"/>
        </w:rPr>
        <w:t>призвело до</w:t>
      </w:r>
      <w:r w:rsidRPr="00222DB2">
        <w:rPr>
          <w:lang w:val="uk-UA"/>
        </w:rPr>
        <w:t xml:space="preserve"> порушення позитивних зобов’язань держави-відповідача за ст</w:t>
      </w:r>
      <w:r w:rsidR="0039032E" w:rsidRPr="00222DB2">
        <w:rPr>
          <w:lang w:val="uk-UA"/>
        </w:rPr>
        <w:t>.</w:t>
      </w:r>
      <w:r w:rsidRPr="00222DB2">
        <w:rPr>
          <w:lang w:val="uk-UA"/>
        </w:rPr>
        <w:t xml:space="preserve"> 3 </w:t>
      </w:r>
      <w:r w:rsidR="0039032E" w:rsidRPr="00222DB2">
        <w:rPr>
          <w:lang w:val="uk-UA"/>
        </w:rPr>
        <w:t>і ст.</w:t>
      </w:r>
      <w:r w:rsidRPr="00222DB2">
        <w:rPr>
          <w:lang w:val="uk-UA"/>
        </w:rPr>
        <w:t xml:space="preserve"> 8 Конвенції. </w:t>
      </w:r>
      <w:r w:rsidR="00C65704" w:rsidRPr="00222DB2">
        <w:rPr>
          <w:lang w:val="uk-UA"/>
        </w:rPr>
        <w:t>Суд</w:t>
      </w:r>
      <w:r w:rsidRPr="00222DB2">
        <w:rPr>
          <w:lang w:val="uk-UA"/>
        </w:rPr>
        <w:t xml:space="preserve"> вважає, що кримінально-правові механізми слід впроваджувати так, щоб усунути особливу вразливість заявниці як маленької дитини, яка</w:t>
      </w:r>
      <w:r w:rsidR="00C65704" w:rsidRPr="00222DB2">
        <w:rPr>
          <w:lang w:val="uk-UA"/>
        </w:rPr>
        <w:t xml:space="preserve">, за її твердженнями, </w:t>
      </w:r>
      <w:r w:rsidRPr="00222DB2">
        <w:rPr>
          <w:lang w:val="uk-UA"/>
        </w:rPr>
        <w:t xml:space="preserve">стала жертвою сексуального насильства з боку свого батька, беручи до уваги в першу чергу найкращі інтереси дитини, а також цей зв'язок, щоб забезпечити захист її прав як жертви </w:t>
      </w:r>
      <w:r w:rsidRPr="00222DB2">
        <w:rPr>
          <w:i/>
          <w:iCs/>
          <w:lang w:val="uk-UA"/>
        </w:rPr>
        <w:t>(</w:t>
      </w:r>
      <w:proofErr w:type="spellStart"/>
      <w:r w:rsidRPr="00222DB2">
        <w:rPr>
          <w:i/>
          <w:iCs/>
          <w:lang w:val="uk-UA"/>
        </w:rPr>
        <w:t>see</w:t>
      </w:r>
      <w:proofErr w:type="spellEnd"/>
      <w:r w:rsidRPr="00222DB2">
        <w:rPr>
          <w:i/>
          <w:iCs/>
          <w:lang w:val="uk-UA"/>
        </w:rPr>
        <w:t xml:space="preserve"> «A. and B. v. Croatia»</w:t>
      </w:r>
      <w:r w:rsidR="005A1B77" w:rsidRPr="00222DB2">
        <w:rPr>
          <w:i/>
          <w:iCs/>
          <w:lang w:val="uk-UA"/>
        </w:rPr>
        <w:t>,</w:t>
      </w:r>
      <w:r w:rsidRPr="00222DB2">
        <w:rPr>
          <w:i/>
          <w:iCs/>
          <w:lang w:val="uk-UA"/>
        </w:rPr>
        <w:t xml:space="preserve"> </w:t>
      </w:r>
      <w:proofErr w:type="spellStart"/>
      <w:r w:rsidRPr="00222DB2">
        <w:rPr>
          <w:i/>
          <w:iCs/>
          <w:lang w:val="uk-UA"/>
        </w:rPr>
        <w:t>cited</w:t>
      </w:r>
      <w:proofErr w:type="spellEnd"/>
      <w:r w:rsidRPr="00222DB2">
        <w:rPr>
          <w:i/>
          <w:iCs/>
          <w:lang w:val="uk-UA"/>
        </w:rPr>
        <w:t xml:space="preserve"> </w:t>
      </w:r>
      <w:proofErr w:type="spellStart"/>
      <w:r w:rsidRPr="00222DB2">
        <w:rPr>
          <w:i/>
          <w:iCs/>
          <w:lang w:val="uk-UA"/>
        </w:rPr>
        <w:t>above</w:t>
      </w:r>
      <w:proofErr w:type="spellEnd"/>
      <w:r w:rsidRPr="00222DB2">
        <w:rPr>
          <w:i/>
          <w:iCs/>
          <w:lang w:val="uk-UA"/>
        </w:rPr>
        <w:t xml:space="preserve">, п. 121) </w:t>
      </w:r>
      <w:r w:rsidRPr="00222DB2">
        <w:rPr>
          <w:lang w:val="uk-UA"/>
        </w:rPr>
        <w:t>(п. 87).</w:t>
      </w:r>
    </w:p>
    <w:p w14:paraId="422F37A4" w14:textId="2EECEB26" w:rsidR="005C0C1E" w:rsidRPr="00222DB2" w:rsidRDefault="005C0C1E" w:rsidP="009519E6">
      <w:pPr>
        <w:pStyle w:val="JuPara"/>
        <w:ind w:firstLine="0"/>
        <w:rPr>
          <w:lang w:val="uk-UA"/>
        </w:rPr>
      </w:pPr>
    </w:p>
    <w:p w14:paraId="5205ED57" w14:textId="41EEF5E1" w:rsidR="00C65704" w:rsidRPr="00222DB2" w:rsidRDefault="00C65704" w:rsidP="009519E6">
      <w:pPr>
        <w:pStyle w:val="JuPara"/>
        <w:ind w:firstLine="0"/>
        <w:rPr>
          <w:lang w:val="uk-UA"/>
        </w:rPr>
      </w:pPr>
      <w:r w:rsidRPr="00222DB2">
        <w:rPr>
          <w:lang w:val="uk-UA"/>
        </w:rPr>
        <w:t xml:space="preserve">Вирішуючи це питання, Суд буде враховувати критерії, встановлені міжнародними документами. Зокрема, </w:t>
      </w:r>
      <w:r w:rsidR="00197A94" w:rsidRPr="00222DB2">
        <w:rPr>
          <w:lang w:val="uk-UA"/>
        </w:rPr>
        <w:t>Суд</w:t>
      </w:r>
      <w:r w:rsidRPr="00222DB2">
        <w:rPr>
          <w:lang w:val="uk-UA"/>
        </w:rPr>
        <w:t xml:space="preserve"> зазначає, що Лансаротська конвенція, Керівні принципи Комітету міністрів Ради Європи щодо дружнього до дітей правосуддя та відповідні директиви ЄС встановлюють ряд вимог щодо </w:t>
      </w:r>
      <w:r w:rsidR="00197A94" w:rsidRPr="00222DB2">
        <w:rPr>
          <w:lang w:val="uk-UA"/>
        </w:rPr>
        <w:t>отримання</w:t>
      </w:r>
      <w:r w:rsidRPr="00222DB2">
        <w:rPr>
          <w:lang w:val="uk-UA"/>
        </w:rPr>
        <w:t xml:space="preserve"> </w:t>
      </w:r>
      <w:r w:rsidR="00197A94" w:rsidRPr="00222DB2">
        <w:rPr>
          <w:lang w:val="uk-UA"/>
        </w:rPr>
        <w:t xml:space="preserve">доказів від дітей </w:t>
      </w:r>
      <w:r w:rsidRPr="00222DB2">
        <w:rPr>
          <w:lang w:val="uk-UA"/>
        </w:rPr>
        <w:t xml:space="preserve">та збереження </w:t>
      </w:r>
      <w:r w:rsidR="00197A94" w:rsidRPr="00222DB2">
        <w:rPr>
          <w:lang w:val="uk-UA"/>
        </w:rPr>
        <w:t xml:space="preserve">таких </w:t>
      </w:r>
      <w:r w:rsidRPr="00222DB2">
        <w:rPr>
          <w:lang w:val="uk-UA"/>
        </w:rPr>
        <w:t xml:space="preserve">доказів </w:t>
      </w:r>
      <w:r w:rsidRPr="00222DB2">
        <w:rPr>
          <w:i/>
          <w:iCs/>
          <w:lang w:val="uk-UA"/>
        </w:rPr>
        <w:t>(п.п. 47, 48, 50, 52).</w:t>
      </w:r>
      <w:r w:rsidRPr="00222DB2">
        <w:rPr>
          <w:lang w:val="uk-UA"/>
        </w:rPr>
        <w:t xml:space="preserve"> Хоча Лансаротська конвенція набула чинності </w:t>
      </w:r>
      <w:r w:rsidR="00197A94" w:rsidRPr="00222DB2">
        <w:rPr>
          <w:lang w:val="uk-UA"/>
        </w:rPr>
        <w:t>для</w:t>
      </w:r>
      <w:r w:rsidRPr="00222DB2">
        <w:rPr>
          <w:lang w:val="uk-UA"/>
        </w:rPr>
        <w:t xml:space="preserve"> Естонії після фактів цієї справи, інші відповідні документи містять положення, подібні до положень цієї Конвенції (п. 88).</w:t>
      </w:r>
    </w:p>
    <w:p w14:paraId="16F2958A" w14:textId="735F9A48" w:rsidR="00C65704" w:rsidRPr="00222DB2" w:rsidRDefault="00C65704" w:rsidP="009519E6">
      <w:pPr>
        <w:pStyle w:val="JuPara"/>
        <w:ind w:firstLine="0"/>
        <w:rPr>
          <w:lang w:val="uk-UA"/>
        </w:rPr>
      </w:pPr>
    </w:p>
    <w:p w14:paraId="60717AEC" w14:textId="295B41A3" w:rsidR="00C65704" w:rsidRPr="00222DB2" w:rsidRDefault="00C65704" w:rsidP="00C65704">
      <w:pPr>
        <w:pStyle w:val="JuPara"/>
        <w:ind w:firstLine="0"/>
        <w:rPr>
          <w:lang w:val="uk-UA"/>
        </w:rPr>
      </w:pPr>
      <w:r w:rsidRPr="00222DB2">
        <w:rPr>
          <w:lang w:val="uk-UA"/>
        </w:rPr>
        <w:t xml:space="preserve">Суд не </w:t>
      </w:r>
      <w:r w:rsidR="00197A94" w:rsidRPr="00222DB2">
        <w:rPr>
          <w:lang w:val="uk-UA"/>
        </w:rPr>
        <w:t>бере до уваги</w:t>
      </w:r>
      <w:r w:rsidRPr="00222DB2">
        <w:rPr>
          <w:lang w:val="uk-UA"/>
        </w:rPr>
        <w:t xml:space="preserve"> </w:t>
      </w:r>
      <w:proofErr w:type="spellStart"/>
      <w:r w:rsidRPr="00222DB2">
        <w:rPr>
          <w:lang w:val="uk-UA"/>
        </w:rPr>
        <w:t>заями</w:t>
      </w:r>
      <w:proofErr w:type="spellEnd"/>
      <w:r w:rsidRPr="00222DB2">
        <w:rPr>
          <w:lang w:val="uk-UA"/>
        </w:rPr>
        <w:t xml:space="preserve"> про процесуальні помилки чи поодинок</w:t>
      </w:r>
      <w:r w:rsidR="00197A94" w:rsidRPr="00222DB2">
        <w:rPr>
          <w:lang w:val="uk-UA"/>
        </w:rPr>
        <w:t>і</w:t>
      </w:r>
      <w:r w:rsidRPr="00222DB2">
        <w:rPr>
          <w:lang w:val="uk-UA"/>
        </w:rPr>
        <w:t xml:space="preserve"> упущення</w:t>
      </w:r>
      <w:r w:rsidR="00197A94" w:rsidRPr="00222DB2">
        <w:rPr>
          <w:lang w:val="uk-UA"/>
        </w:rPr>
        <w:t xml:space="preserve">. В центрі уваги Суду перебувають лише </w:t>
      </w:r>
      <w:r w:rsidRPr="00222DB2">
        <w:rPr>
          <w:lang w:val="uk-UA"/>
        </w:rPr>
        <w:t>суттєв</w:t>
      </w:r>
      <w:r w:rsidR="00197A94" w:rsidRPr="00222DB2">
        <w:rPr>
          <w:lang w:val="uk-UA"/>
        </w:rPr>
        <w:t>і</w:t>
      </w:r>
      <w:r w:rsidRPr="00222DB2">
        <w:rPr>
          <w:lang w:val="uk-UA"/>
        </w:rPr>
        <w:t xml:space="preserve"> недоліки у провадженні та відповідному процесі прийняття рішень, а саме т</w:t>
      </w:r>
      <w:r w:rsidR="00197A94" w:rsidRPr="00222DB2">
        <w:rPr>
          <w:lang w:val="uk-UA"/>
        </w:rPr>
        <w:t>і</w:t>
      </w:r>
      <w:r w:rsidRPr="00222DB2">
        <w:rPr>
          <w:lang w:val="uk-UA"/>
        </w:rPr>
        <w:t xml:space="preserve">, які </w:t>
      </w:r>
      <w:r w:rsidR="00197A94" w:rsidRPr="00222DB2">
        <w:rPr>
          <w:lang w:val="uk-UA"/>
        </w:rPr>
        <w:t xml:space="preserve">були </w:t>
      </w:r>
      <w:r w:rsidRPr="00222DB2">
        <w:rPr>
          <w:lang w:val="uk-UA"/>
        </w:rPr>
        <w:t xml:space="preserve">здатні підірвати спроможність органів влади встановити обставин справи або винуватого злочинця </w:t>
      </w:r>
      <w:r w:rsidRPr="00222DB2">
        <w:rPr>
          <w:i/>
          <w:iCs/>
          <w:lang w:val="uk-UA"/>
        </w:rPr>
        <w:t>(</w:t>
      </w:r>
      <w:proofErr w:type="spellStart"/>
      <w:r w:rsidRPr="00222DB2">
        <w:rPr>
          <w:i/>
          <w:iCs/>
          <w:lang w:val="uk-UA"/>
        </w:rPr>
        <w:t>see</w:t>
      </w:r>
      <w:proofErr w:type="spellEnd"/>
      <w:r w:rsidRPr="00222DB2">
        <w:rPr>
          <w:i/>
          <w:iCs/>
          <w:lang w:val="uk-UA"/>
        </w:rPr>
        <w:t xml:space="preserve"> «S.M. v. Croatia» [GC], № 60561/14, </w:t>
      </w:r>
      <w:r w:rsidRPr="00222DB2">
        <w:rPr>
          <w:rFonts w:cstheme="minorHAnsi"/>
          <w:i/>
          <w:iCs/>
          <w:lang w:val="uk-UA"/>
        </w:rPr>
        <w:t>п.</w:t>
      </w:r>
      <w:r w:rsidRPr="00222DB2">
        <w:rPr>
          <w:i/>
          <w:iCs/>
          <w:lang w:val="uk-UA"/>
        </w:rPr>
        <w:t xml:space="preserve"> 32). </w:t>
      </w:r>
      <w:r w:rsidRPr="00222DB2">
        <w:rPr>
          <w:lang w:val="uk-UA"/>
        </w:rPr>
        <w:t xml:space="preserve">ЄСПЛ не може замінити національну владу в оцінці фактів справи, а також не може вирішити питання про кримінальну відповідальність стверджуваного злочинця </w:t>
      </w:r>
      <w:r w:rsidRPr="00222DB2">
        <w:rPr>
          <w:i/>
          <w:iCs/>
          <w:lang w:val="uk-UA"/>
        </w:rPr>
        <w:t>(</w:t>
      </w:r>
      <w:proofErr w:type="spellStart"/>
      <w:r w:rsidRPr="00222DB2">
        <w:rPr>
          <w:i/>
          <w:iCs/>
          <w:lang w:val="uk-UA"/>
        </w:rPr>
        <w:t>see</w:t>
      </w:r>
      <w:proofErr w:type="spellEnd"/>
      <w:r w:rsidRPr="00222DB2">
        <w:rPr>
          <w:i/>
          <w:iCs/>
          <w:lang w:val="uk-UA"/>
        </w:rPr>
        <w:t xml:space="preserve"> «X and Others v. Bulgaria», </w:t>
      </w:r>
      <w:proofErr w:type="spellStart"/>
      <w:r w:rsidRPr="00222DB2">
        <w:rPr>
          <w:i/>
          <w:iCs/>
          <w:lang w:val="uk-UA"/>
        </w:rPr>
        <w:t>cited</w:t>
      </w:r>
      <w:proofErr w:type="spellEnd"/>
      <w:r w:rsidRPr="00222DB2">
        <w:rPr>
          <w:i/>
          <w:iCs/>
          <w:lang w:val="uk-UA"/>
        </w:rPr>
        <w:t xml:space="preserve"> </w:t>
      </w:r>
      <w:proofErr w:type="spellStart"/>
      <w:r w:rsidRPr="00222DB2">
        <w:rPr>
          <w:i/>
          <w:iCs/>
          <w:lang w:val="uk-UA"/>
        </w:rPr>
        <w:t>above</w:t>
      </w:r>
      <w:proofErr w:type="spellEnd"/>
      <w:r w:rsidRPr="00222DB2">
        <w:rPr>
          <w:i/>
          <w:iCs/>
          <w:lang w:val="uk-UA"/>
        </w:rPr>
        <w:t xml:space="preserve">, п. 186) </w:t>
      </w:r>
      <w:r w:rsidRPr="00222DB2">
        <w:rPr>
          <w:lang w:val="uk-UA"/>
        </w:rPr>
        <w:t>(п. 89).</w:t>
      </w:r>
    </w:p>
    <w:p w14:paraId="693C71AE" w14:textId="4EE217F2" w:rsidR="00C65704" w:rsidRPr="00222DB2" w:rsidRDefault="00C65704" w:rsidP="00C65704">
      <w:pPr>
        <w:pStyle w:val="JuPara"/>
        <w:ind w:firstLine="0"/>
        <w:rPr>
          <w:lang w:val="uk-UA"/>
        </w:rPr>
      </w:pPr>
    </w:p>
    <w:p w14:paraId="3DE16877" w14:textId="3DB999FB" w:rsidR="00C65704" w:rsidRPr="00222DB2" w:rsidRDefault="00C65704" w:rsidP="00C65704">
      <w:pPr>
        <w:pStyle w:val="JuPara"/>
        <w:ind w:firstLine="0"/>
        <w:rPr>
          <w:lang w:val="uk-UA"/>
        </w:rPr>
      </w:pPr>
      <w:r w:rsidRPr="00222DB2">
        <w:rPr>
          <w:lang w:val="uk-UA"/>
        </w:rPr>
        <w:t>У цій справі скарга заявниці стосується процесуальних недоліків у кримінальному провадженні в цілому, включаючи бездіяльність слідчого повідомити заявниці про її процесуальні права та обов'язки, а також реакцію Верховного Суду на це порушення, що призвело до виключення її свідчень та виправдання стверджуваного злочинця з процесуальних підстав (п. 90).</w:t>
      </w:r>
    </w:p>
    <w:p w14:paraId="6A7847A0" w14:textId="77777777" w:rsidR="00C65704" w:rsidRPr="00222DB2" w:rsidRDefault="00C65704" w:rsidP="00C65704">
      <w:pPr>
        <w:pStyle w:val="JuPara"/>
        <w:ind w:firstLine="0"/>
        <w:rPr>
          <w:lang w:val="uk-UA"/>
        </w:rPr>
      </w:pPr>
    </w:p>
    <w:p w14:paraId="3B1D1798" w14:textId="308502BA" w:rsidR="00C65704" w:rsidRPr="00222DB2" w:rsidRDefault="00C65704" w:rsidP="00C65704">
      <w:pPr>
        <w:pStyle w:val="JuPara"/>
        <w:ind w:firstLine="0"/>
        <w:rPr>
          <w:lang w:val="uk-UA"/>
        </w:rPr>
      </w:pPr>
      <w:r w:rsidRPr="00222DB2">
        <w:rPr>
          <w:lang w:val="uk-UA"/>
        </w:rPr>
        <w:t>Суд зазначає, що після надходження заяв про сексуальне насильство 19 березня 2012 року влада негайно розпочала кримінальне провадження. Заявни</w:t>
      </w:r>
      <w:r w:rsidR="00A67063" w:rsidRPr="00222DB2">
        <w:rPr>
          <w:lang w:val="uk-UA"/>
        </w:rPr>
        <w:t>цю</w:t>
      </w:r>
      <w:r w:rsidRPr="00222DB2">
        <w:rPr>
          <w:lang w:val="uk-UA"/>
        </w:rPr>
        <w:t xml:space="preserve"> було </w:t>
      </w:r>
      <w:r w:rsidR="00A67063" w:rsidRPr="00222DB2">
        <w:rPr>
          <w:lang w:val="uk-UA"/>
        </w:rPr>
        <w:t>д</w:t>
      </w:r>
      <w:r w:rsidRPr="00222DB2">
        <w:rPr>
          <w:lang w:val="uk-UA"/>
        </w:rPr>
        <w:t>опитано в той же день як потерпіл</w:t>
      </w:r>
      <w:r w:rsidR="00A67063" w:rsidRPr="00222DB2">
        <w:rPr>
          <w:lang w:val="uk-UA"/>
        </w:rPr>
        <w:t>у</w:t>
      </w:r>
      <w:r w:rsidRPr="00222DB2">
        <w:rPr>
          <w:lang w:val="uk-UA"/>
        </w:rPr>
        <w:t xml:space="preserve">. </w:t>
      </w:r>
      <w:r w:rsidR="00A67063" w:rsidRPr="00222DB2">
        <w:rPr>
          <w:lang w:val="uk-UA"/>
        </w:rPr>
        <w:t xml:space="preserve">Наступний допит </w:t>
      </w:r>
      <w:r w:rsidRPr="00222DB2">
        <w:rPr>
          <w:lang w:val="uk-UA"/>
        </w:rPr>
        <w:t>відбу</w:t>
      </w:r>
      <w:r w:rsidR="00A67063" w:rsidRPr="00222DB2">
        <w:rPr>
          <w:lang w:val="uk-UA"/>
        </w:rPr>
        <w:t>вся</w:t>
      </w:r>
      <w:r w:rsidRPr="00222DB2">
        <w:rPr>
          <w:lang w:val="uk-UA"/>
        </w:rPr>
        <w:t xml:space="preserve"> 16 травня 2012 р</w:t>
      </w:r>
      <w:r w:rsidR="00A67063" w:rsidRPr="00222DB2">
        <w:rPr>
          <w:lang w:val="uk-UA"/>
        </w:rPr>
        <w:t>оку. Допит</w:t>
      </w:r>
      <w:r w:rsidRPr="00222DB2">
        <w:rPr>
          <w:lang w:val="uk-UA"/>
        </w:rPr>
        <w:t xml:space="preserve"> проводив спеціал</w:t>
      </w:r>
      <w:r w:rsidR="00A67063" w:rsidRPr="00222DB2">
        <w:rPr>
          <w:lang w:val="uk-UA"/>
        </w:rPr>
        <w:t>ьно призначений слідчий</w:t>
      </w:r>
      <w:r w:rsidRPr="00222DB2">
        <w:rPr>
          <w:lang w:val="uk-UA"/>
        </w:rPr>
        <w:t xml:space="preserve"> тієї ж статі </w:t>
      </w:r>
      <w:r w:rsidR="00A67063" w:rsidRPr="00222DB2">
        <w:rPr>
          <w:lang w:val="uk-UA"/>
        </w:rPr>
        <w:t>за</w:t>
      </w:r>
      <w:r w:rsidRPr="00222DB2">
        <w:rPr>
          <w:lang w:val="uk-UA"/>
        </w:rPr>
        <w:t xml:space="preserve"> присутності психолога. Заявницю супроводжувала її мати як її законний представник. </w:t>
      </w:r>
      <w:r w:rsidR="00A67063" w:rsidRPr="00222DB2">
        <w:rPr>
          <w:lang w:val="uk-UA"/>
        </w:rPr>
        <w:t>Допит</w:t>
      </w:r>
      <w:r w:rsidRPr="00222DB2">
        <w:rPr>
          <w:lang w:val="uk-UA"/>
        </w:rPr>
        <w:t xml:space="preserve"> було записано на відео, щоб захистити показання заявниці для їх можливого використання у наступних судових </w:t>
      </w:r>
      <w:r w:rsidR="00151318" w:rsidRPr="00222DB2">
        <w:rPr>
          <w:lang w:val="uk-UA"/>
        </w:rPr>
        <w:t>засіданнях</w:t>
      </w:r>
      <w:r w:rsidRPr="00222DB2">
        <w:rPr>
          <w:lang w:val="uk-UA"/>
        </w:rPr>
        <w:t xml:space="preserve"> та забезпечити повагу до прав обвинуваченого, якому не дозволено </w:t>
      </w:r>
      <w:r w:rsidR="00A67063" w:rsidRPr="00222DB2">
        <w:rPr>
          <w:lang w:val="uk-UA"/>
        </w:rPr>
        <w:t xml:space="preserve">безпосередньо перебувати під час допиту </w:t>
      </w:r>
      <w:r w:rsidRPr="00222DB2">
        <w:rPr>
          <w:lang w:val="uk-UA"/>
        </w:rPr>
        <w:t>(п. 91).</w:t>
      </w:r>
    </w:p>
    <w:p w14:paraId="40384E9C" w14:textId="4B2C845F" w:rsidR="00C65704" w:rsidRPr="00222DB2" w:rsidRDefault="00C65704" w:rsidP="00C65704">
      <w:pPr>
        <w:pStyle w:val="JuPara"/>
        <w:ind w:firstLine="0"/>
        <w:rPr>
          <w:lang w:val="uk-UA"/>
        </w:rPr>
      </w:pPr>
    </w:p>
    <w:p w14:paraId="10514C15" w14:textId="2264C03C" w:rsidR="00C65704" w:rsidRPr="00222DB2" w:rsidRDefault="00C65704" w:rsidP="00C65704">
      <w:pPr>
        <w:pStyle w:val="JuPara"/>
        <w:ind w:firstLine="0"/>
        <w:rPr>
          <w:lang w:val="uk-UA"/>
        </w:rPr>
      </w:pPr>
      <w:r w:rsidRPr="00222DB2">
        <w:rPr>
          <w:lang w:val="uk-UA"/>
        </w:rPr>
        <w:t xml:space="preserve">Однак в </w:t>
      </w:r>
      <w:r w:rsidR="00197A94" w:rsidRPr="00222DB2">
        <w:rPr>
          <w:lang w:val="uk-UA"/>
        </w:rPr>
        <w:t xml:space="preserve">жодному </w:t>
      </w:r>
      <w:r w:rsidRPr="00222DB2">
        <w:rPr>
          <w:lang w:val="uk-UA"/>
        </w:rPr>
        <w:t xml:space="preserve">з цих </w:t>
      </w:r>
      <w:r w:rsidR="00A67063" w:rsidRPr="00222DB2">
        <w:rPr>
          <w:lang w:val="uk-UA"/>
        </w:rPr>
        <w:t>допитів</w:t>
      </w:r>
      <w:r w:rsidRPr="00222DB2">
        <w:rPr>
          <w:lang w:val="uk-UA"/>
        </w:rPr>
        <w:t xml:space="preserve"> слідчий не </w:t>
      </w:r>
      <w:r w:rsidR="00151318" w:rsidRPr="00222DB2">
        <w:rPr>
          <w:lang w:val="uk-UA"/>
        </w:rPr>
        <w:t>роз’яснив</w:t>
      </w:r>
      <w:r w:rsidRPr="00222DB2">
        <w:rPr>
          <w:lang w:val="uk-UA"/>
        </w:rPr>
        <w:t xml:space="preserve"> заявниці її право не давати свідчення проти члена її сім'ї та її обов'язок говорити правду, оскільки такі вказівки вимагаються правилами кримінального процесу (п. 92).</w:t>
      </w:r>
    </w:p>
    <w:p w14:paraId="418E712D" w14:textId="77777777" w:rsidR="00151318" w:rsidRPr="00222DB2" w:rsidRDefault="00151318" w:rsidP="00151318">
      <w:pPr>
        <w:pStyle w:val="JuPara"/>
        <w:ind w:firstLine="0"/>
        <w:rPr>
          <w:lang w:val="uk-UA"/>
        </w:rPr>
      </w:pPr>
    </w:p>
    <w:p w14:paraId="053EDE83" w14:textId="029D5DE3" w:rsidR="00151318" w:rsidRPr="00222DB2" w:rsidRDefault="00151318" w:rsidP="00151318">
      <w:pPr>
        <w:pStyle w:val="JuPara"/>
        <w:ind w:firstLine="0"/>
        <w:rPr>
          <w:lang w:val="uk-UA"/>
        </w:rPr>
      </w:pPr>
      <w:r w:rsidRPr="00222DB2">
        <w:rPr>
          <w:lang w:val="uk-UA"/>
        </w:rPr>
        <w:t xml:space="preserve">Слідчі органи двічі допитували стверджуваного злочинця, який заперечував будь-яке сексуальне насильство над </w:t>
      </w:r>
      <w:r w:rsidR="00197A94" w:rsidRPr="00222DB2">
        <w:rPr>
          <w:lang w:val="uk-UA"/>
        </w:rPr>
        <w:t>своєю</w:t>
      </w:r>
      <w:r w:rsidRPr="00222DB2">
        <w:rPr>
          <w:lang w:val="uk-UA"/>
        </w:rPr>
        <w:t xml:space="preserve"> донькою, і на додаток йому проводили психіатричну експертизу. Йому та його адвокату були надані відеозаписи </w:t>
      </w:r>
      <w:r w:rsidR="00197A94" w:rsidRPr="00222DB2">
        <w:rPr>
          <w:lang w:val="uk-UA"/>
        </w:rPr>
        <w:t xml:space="preserve">показань </w:t>
      </w:r>
      <w:r w:rsidRPr="00222DB2">
        <w:rPr>
          <w:lang w:val="uk-UA"/>
        </w:rPr>
        <w:t>заявниці та надана можливість, якою вони не скористалися, поставити їй письмові запитання (п. 93).</w:t>
      </w:r>
    </w:p>
    <w:p w14:paraId="467FEEF6" w14:textId="77777777" w:rsidR="00151318" w:rsidRPr="00222DB2" w:rsidRDefault="00151318" w:rsidP="00151318">
      <w:pPr>
        <w:pStyle w:val="JuPara"/>
        <w:ind w:firstLine="0"/>
        <w:rPr>
          <w:lang w:val="uk-UA"/>
        </w:rPr>
      </w:pPr>
    </w:p>
    <w:p w14:paraId="60222BFA" w14:textId="0E3411AB" w:rsidR="00151318" w:rsidRPr="00222DB2" w:rsidRDefault="00151318" w:rsidP="00151318">
      <w:pPr>
        <w:pStyle w:val="JuPara"/>
        <w:ind w:firstLine="0"/>
        <w:rPr>
          <w:lang w:val="uk-UA"/>
        </w:rPr>
      </w:pPr>
      <w:r w:rsidRPr="00222DB2">
        <w:rPr>
          <w:lang w:val="uk-UA"/>
        </w:rPr>
        <w:t xml:space="preserve">Докази, зібрані під час розслідування, були визнані достатніми, щоб звинуватити батька заявника у вчиненні сексуальних домагань у червні 2013 року та направити справу для судового </w:t>
      </w:r>
      <w:r w:rsidR="00791109" w:rsidRPr="00222DB2">
        <w:rPr>
          <w:lang w:val="uk-UA"/>
        </w:rPr>
        <w:t>розгляду</w:t>
      </w:r>
      <w:r w:rsidRPr="00222DB2">
        <w:rPr>
          <w:lang w:val="uk-UA"/>
        </w:rPr>
        <w:t xml:space="preserve"> (п. 94).</w:t>
      </w:r>
    </w:p>
    <w:p w14:paraId="5E64D838" w14:textId="5DC7C9BD" w:rsidR="00C65704" w:rsidRPr="00222DB2" w:rsidRDefault="00C65704" w:rsidP="00267CCE">
      <w:pPr>
        <w:pStyle w:val="JuPara"/>
        <w:rPr>
          <w:lang w:val="uk-UA"/>
        </w:rPr>
      </w:pPr>
    </w:p>
    <w:p w14:paraId="3FAA2191" w14:textId="5F4CE3D0" w:rsidR="00E27E84" w:rsidRPr="00222DB2" w:rsidRDefault="00E27E84" w:rsidP="00E27E84">
      <w:pPr>
        <w:pStyle w:val="JuPara"/>
        <w:ind w:firstLine="0"/>
        <w:rPr>
          <w:lang w:val="uk-UA"/>
        </w:rPr>
      </w:pPr>
      <w:r w:rsidRPr="00222DB2">
        <w:rPr>
          <w:lang w:val="uk-UA"/>
        </w:rPr>
        <w:t xml:space="preserve">Враховуючи її вік, заявниця не була викликана для надання свідчень у суді, як пропонували експерти. Відеозаписи заявниці, зроблені на етапі досудового розслідування, були оприлюднені під час судових слухань та розглянуті судами першої та апеляційної інстанцій. Захист також зміг поспостерігати за поведінкою потерпілої і поставити під сумнів достовірність її показань, стверджуючи </w:t>
      </w:r>
      <w:r w:rsidRPr="00222DB2">
        <w:rPr>
          <w:i/>
          <w:lang w:val="uk-UA"/>
        </w:rPr>
        <w:t>inter alia</w:t>
      </w:r>
      <w:r w:rsidRPr="00222DB2">
        <w:rPr>
          <w:lang w:val="uk-UA"/>
        </w:rPr>
        <w:t xml:space="preserve"> про те, що на них чинив надмірний вплив її мати, яка була присутня під час допитів (п. 95).</w:t>
      </w:r>
    </w:p>
    <w:p w14:paraId="7DDA992B" w14:textId="77777777" w:rsidR="00E27E84" w:rsidRPr="00222DB2" w:rsidRDefault="00E27E84" w:rsidP="00E27E84">
      <w:pPr>
        <w:pStyle w:val="JuPara"/>
        <w:ind w:firstLine="0"/>
        <w:rPr>
          <w:lang w:val="uk-UA"/>
        </w:rPr>
      </w:pPr>
    </w:p>
    <w:p w14:paraId="02789946" w14:textId="2B3C0C56" w:rsidR="00151318" w:rsidRPr="00222DB2" w:rsidRDefault="00E27E84" w:rsidP="00E27E84">
      <w:pPr>
        <w:pStyle w:val="JuPara"/>
        <w:ind w:firstLine="0"/>
        <w:rPr>
          <w:lang w:val="uk-UA"/>
        </w:rPr>
      </w:pPr>
      <w:r w:rsidRPr="00222DB2">
        <w:rPr>
          <w:lang w:val="uk-UA"/>
        </w:rPr>
        <w:t xml:space="preserve">На підставі зібраних доказів, включаючи </w:t>
      </w:r>
      <w:r w:rsidR="004A64BB" w:rsidRPr="00222DB2">
        <w:rPr>
          <w:lang w:val="uk-UA"/>
        </w:rPr>
        <w:t>висновки</w:t>
      </w:r>
      <w:r w:rsidRPr="00222DB2">
        <w:rPr>
          <w:lang w:val="uk-UA"/>
        </w:rPr>
        <w:t xml:space="preserve"> експертів та </w:t>
      </w:r>
      <w:r w:rsidR="004A64BB" w:rsidRPr="00222DB2">
        <w:rPr>
          <w:lang w:val="uk-UA"/>
        </w:rPr>
        <w:t xml:space="preserve">показання </w:t>
      </w:r>
      <w:r w:rsidRPr="00222DB2">
        <w:rPr>
          <w:lang w:val="uk-UA"/>
        </w:rPr>
        <w:t xml:space="preserve">інших свідків, суд першої інстанції визнав докази заявниці про сексуальне насильство допустимими та засудив її батька за </w:t>
      </w:r>
      <w:r w:rsidR="004A64BB" w:rsidRPr="00222DB2">
        <w:rPr>
          <w:lang w:val="uk-UA"/>
        </w:rPr>
        <w:t>відповідним об</w:t>
      </w:r>
      <w:r w:rsidRPr="00222DB2">
        <w:rPr>
          <w:lang w:val="uk-UA"/>
        </w:rPr>
        <w:t>винува</w:t>
      </w:r>
      <w:r w:rsidR="004A64BB" w:rsidRPr="00222DB2">
        <w:rPr>
          <w:lang w:val="uk-UA"/>
        </w:rPr>
        <w:t>льним актом</w:t>
      </w:r>
      <w:r w:rsidRPr="00222DB2">
        <w:rPr>
          <w:lang w:val="uk-UA"/>
        </w:rPr>
        <w:t xml:space="preserve">. Незважаючи на те, що </w:t>
      </w:r>
      <w:r w:rsidR="004A64BB" w:rsidRPr="00222DB2">
        <w:rPr>
          <w:lang w:val="uk-UA"/>
        </w:rPr>
        <w:t>а</w:t>
      </w:r>
      <w:r w:rsidRPr="00222DB2">
        <w:rPr>
          <w:lang w:val="uk-UA"/>
        </w:rPr>
        <w:t>пеляційний суд підтримав це рішення, його рішення не було одностайним. Один із судів поставив під сумнів достовірність показань потерпілої, на яких ґрунтувалося засудження, та виявив, що свідчення були отримані з порушенням процесуальних вимог щодо інформування свідка про обов’язок говорити правду та право не свідчити проти найближчого родича (п. 96).</w:t>
      </w:r>
    </w:p>
    <w:p w14:paraId="2E3DA1E3" w14:textId="19A5E970" w:rsidR="00E27E84" w:rsidRPr="00222DB2" w:rsidRDefault="00E27E84" w:rsidP="00E27E84">
      <w:pPr>
        <w:pStyle w:val="JuPara"/>
        <w:ind w:firstLine="0"/>
        <w:rPr>
          <w:lang w:val="uk-UA"/>
        </w:rPr>
      </w:pPr>
    </w:p>
    <w:p w14:paraId="3AF14012" w14:textId="693521CE" w:rsidR="00E27E84" w:rsidRPr="00222DB2" w:rsidRDefault="00E27E84" w:rsidP="00E27E84">
      <w:pPr>
        <w:pStyle w:val="JuPara"/>
        <w:ind w:firstLine="0"/>
        <w:rPr>
          <w:lang w:val="uk-UA"/>
        </w:rPr>
      </w:pPr>
      <w:r w:rsidRPr="00222DB2">
        <w:rPr>
          <w:lang w:val="uk-UA"/>
        </w:rPr>
        <w:t xml:space="preserve">Згодом, розглядаючи касаційну скаргу обвинуваченого, Верховний Суд </w:t>
      </w:r>
      <w:r w:rsidR="004A64BB" w:rsidRPr="00222DB2">
        <w:rPr>
          <w:lang w:val="uk-UA"/>
        </w:rPr>
        <w:t>встановив</w:t>
      </w:r>
      <w:r w:rsidRPr="00222DB2">
        <w:rPr>
          <w:lang w:val="uk-UA"/>
        </w:rPr>
        <w:t>, що бездіяльність щодо повідомлення заявниці до надання не</w:t>
      </w:r>
      <w:r w:rsidR="000C2DDD" w:rsidRPr="00222DB2">
        <w:rPr>
          <w:lang w:val="uk-UA"/>
        </w:rPr>
        <w:t>ю</w:t>
      </w:r>
      <w:r w:rsidRPr="00222DB2">
        <w:rPr>
          <w:lang w:val="uk-UA"/>
        </w:rPr>
        <w:t xml:space="preserve"> показань про її обов’язок говорити правду та </w:t>
      </w:r>
      <w:r w:rsidR="000C2DDD" w:rsidRPr="00222DB2">
        <w:rPr>
          <w:lang w:val="uk-UA"/>
        </w:rPr>
        <w:t xml:space="preserve">про </w:t>
      </w:r>
      <w:r w:rsidRPr="00222DB2">
        <w:rPr>
          <w:lang w:val="uk-UA"/>
        </w:rPr>
        <w:t xml:space="preserve">її право відмовитись давати свідчення проти свого батька мала значення </w:t>
      </w:r>
      <w:r w:rsidR="004A64BB" w:rsidRPr="00222DB2">
        <w:rPr>
          <w:lang w:val="uk-UA"/>
        </w:rPr>
        <w:t>для</w:t>
      </w:r>
      <w:r w:rsidRPr="00222DB2">
        <w:rPr>
          <w:lang w:val="uk-UA"/>
        </w:rPr>
        <w:t xml:space="preserve"> визнання її свідчень </w:t>
      </w:r>
      <w:r w:rsidR="000C2DDD" w:rsidRPr="00222DB2">
        <w:rPr>
          <w:lang w:val="uk-UA"/>
        </w:rPr>
        <w:t>недопустимими</w:t>
      </w:r>
      <w:r w:rsidRPr="00222DB2">
        <w:rPr>
          <w:lang w:val="uk-UA"/>
        </w:rPr>
        <w:t xml:space="preserve">, </w:t>
      </w:r>
      <w:r w:rsidR="000C2DDD" w:rsidRPr="00222DB2">
        <w:rPr>
          <w:lang w:val="uk-UA"/>
        </w:rPr>
        <w:t>адже її показання були</w:t>
      </w:r>
      <w:r w:rsidRPr="00222DB2">
        <w:rPr>
          <w:lang w:val="uk-UA"/>
        </w:rPr>
        <w:t xml:space="preserve"> вирішальним доказом у справі. Оскільки </w:t>
      </w:r>
      <w:r w:rsidR="000C2DDD" w:rsidRPr="00222DB2">
        <w:rPr>
          <w:lang w:val="uk-UA"/>
        </w:rPr>
        <w:t>процесуальну помилку</w:t>
      </w:r>
      <w:r w:rsidRPr="00222DB2">
        <w:rPr>
          <w:lang w:val="uk-UA"/>
        </w:rPr>
        <w:t>, про як</w:t>
      </w:r>
      <w:r w:rsidR="000C2DDD" w:rsidRPr="00222DB2">
        <w:rPr>
          <w:lang w:val="uk-UA"/>
        </w:rPr>
        <w:t>у</w:t>
      </w:r>
      <w:r w:rsidRPr="00222DB2">
        <w:rPr>
          <w:lang w:val="uk-UA"/>
        </w:rPr>
        <w:t xml:space="preserve"> йдеться, неможливо було виправити, передавши справу до суду нижчої інстанції, де дитину-жертву не могли заслухати, виключення основних доказів призвело до виправдання обвинуваченого (п. 97).</w:t>
      </w:r>
    </w:p>
    <w:p w14:paraId="7243AAEB" w14:textId="77777777" w:rsidR="00E27E84" w:rsidRPr="00222DB2" w:rsidRDefault="00E27E84" w:rsidP="00E27E84">
      <w:pPr>
        <w:pStyle w:val="JuPara"/>
        <w:ind w:firstLine="0"/>
        <w:rPr>
          <w:lang w:val="uk-UA"/>
        </w:rPr>
      </w:pPr>
    </w:p>
    <w:p w14:paraId="0CF92E21" w14:textId="3DE243B6" w:rsidR="00E27E84" w:rsidRPr="00222DB2" w:rsidRDefault="00E27E84" w:rsidP="00E27E84">
      <w:pPr>
        <w:pStyle w:val="JuPara"/>
        <w:ind w:firstLine="0"/>
        <w:rPr>
          <w:lang w:val="uk-UA"/>
        </w:rPr>
      </w:pPr>
      <w:r w:rsidRPr="00222DB2">
        <w:rPr>
          <w:lang w:val="uk-UA"/>
        </w:rPr>
        <w:t xml:space="preserve">Суд зазначає, що в Естонії загальні правила, викладені в законі щодо допиту свідків, також застосовуються до дітей-свідків </w:t>
      </w:r>
      <w:r w:rsidRPr="00222DB2">
        <w:rPr>
          <w:i/>
          <w:iCs/>
          <w:lang w:val="uk-UA"/>
        </w:rPr>
        <w:t>(п. 24).</w:t>
      </w:r>
      <w:r w:rsidRPr="00222DB2">
        <w:rPr>
          <w:lang w:val="uk-UA"/>
        </w:rPr>
        <w:t xml:space="preserve"> Тим не менш, на практиці було визнано, що під час допиту дітей-свідків та надання їм прав та обов’язків необхідно враховувати їх вік та рівень розуміння</w:t>
      </w:r>
      <w:r w:rsidR="000C2DDD" w:rsidRPr="00222DB2">
        <w:rPr>
          <w:lang w:val="uk-UA"/>
        </w:rPr>
        <w:t xml:space="preserve"> ними стану справ</w:t>
      </w:r>
      <w:r w:rsidRPr="00222DB2">
        <w:rPr>
          <w:lang w:val="uk-UA"/>
        </w:rPr>
        <w:t xml:space="preserve"> </w:t>
      </w:r>
      <w:r w:rsidRPr="00222DB2">
        <w:rPr>
          <w:i/>
          <w:iCs/>
          <w:lang w:val="uk-UA"/>
        </w:rPr>
        <w:t>(п. 22, п. 38)</w:t>
      </w:r>
      <w:r w:rsidRPr="00222DB2">
        <w:rPr>
          <w:lang w:val="uk-UA"/>
        </w:rPr>
        <w:t xml:space="preserve"> (п. 98).</w:t>
      </w:r>
    </w:p>
    <w:p w14:paraId="4AEFEFF3" w14:textId="0575BE10" w:rsidR="00E27E84" w:rsidRPr="00222DB2" w:rsidRDefault="00E27E84" w:rsidP="00E27E84">
      <w:pPr>
        <w:pStyle w:val="JuPara"/>
        <w:ind w:firstLine="0"/>
        <w:rPr>
          <w:lang w:val="uk-UA"/>
        </w:rPr>
      </w:pPr>
    </w:p>
    <w:p w14:paraId="11090F42" w14:textId="16EBECF4" w:rsidR="000C2DDD" w:rsidRPr="00222DB2" w:rsidRDefault="000C2DDD" w:rsidP="00E27E84">
      <w:pPr>
        <w:pStyle w:val="JuPara"/>
        <w:ind w:firstLine="0"/>
        <w:rPr>
          <w:lang w:val="uk-UA"/>
        </w:rPr>
      </w:pPr>
      <w:r w:rsidRPr="00222DB2">
        <w:rPr>
          <w:lang w:val="uk-UA"/>
        </w:rPr>
        <w:t xml:space="preserve">У зв'язку з цим Суд зауважує, що відповідно до міжнародних стандартів, досудове розслідування та судовий розгляд мають проводитися таким чином, щоб захищати найкращі інтереси та права дітей, де такий захист вимагає прийняття дружніх до дитини та захисних заходів щодо дітей-жертв у кримінальному провадженні </w:t>
      </w:r>
      <w:r w:rsidRPr="00222DB2">
        <w:rPr>
          <w:i/>
          <w:iCs/>
          <w:lang w:val="uk-UA"/>
        </w:rPr>
        <w:t>(див., наприклад, ст. 30 Лансаротської конвенції та пояснювальну доповідь до неї, п.п. 50-51).</w:t>
      </w:r>
      <w:r w:rsidRPr="00222DB2">
        <w:rPr>
          <w:lang w:val="uk-UA"/>
        </w:rPr>
        <w:t xml:space="preserve"> У цьому контексті важливо, щоб у державах були встановлені процесуальні правила, </w:t>
      </w:r>
      <w:r w:rsidR="004A64BB" w:rsidRPr="00222DB2">
        <w:rPr>
          <w:lang w:val="uk-UA"/>
        </w:rPr>
        <w:t>які б</w:t>
      </w:r>
      <w:r w:rsidRPr="00222DB2">
        <w:rPr>
          <w:lang w:val="uk-UA"/>
        </w:rPr>
        <w:t xml:space="preserve"> гаранту</w:t>
      </w:r>
      <w:r w:rsidR="004A64BB" w:rsidRPr="00222DB2">
        <w:rPr>
          <w:lang w:val="uk-UA"/>
        </w:rPr>
        <w:t>вали</w:t>
      </w:r>
      <w:r w:rsidRPr="00222DB2">
        <w:rPr>
          <w:lang w:val="uk-UA"/>
        </w:rPr>
        <w:t xml:space="preserve"> та охороня</w:t>
      </w:r>
      <w:r w:rsidR="004A64BB" w:rsidRPr="00222DB2">
        <w:rPr>
          <w:lang w:val="uk-UA"/>
        </w:rPr>
        <w:t>ли</w:t>
      </w:r>
      <w:r w:rsidRPr="00222DB2">
        <w:rPr>
          <w:lang w:val="uk-UA"/>
        </w:rPr>
        <w:t xml:space="preserve"> показання дітей </w:t>
      </w:r>
      <w:r w:rsidRPr="00222DB2">
        <w:rPr>
          <w:i/>
          <w:iCs/>
          <w:lang w:val="uk-UA"/>
        </w:rPr>
        <w:t>(</w:t>
      </w:r>
      <w:proofErr w:type="spellStart"/>
      <w:r w:rsidRPr="00222DB2">
        <w:rPr>
          <w:i/>
          <w:iCs/>
          <w:lang w:val="uk-UA"/>
        </w:rPr>
        <w:t>see</w:t>
      </w:r>
      <w:proofErr w:type="spellEnd"/>
      <w:r w:rsidRPr="00222DB2">
        <w:rPr>
          <w:i/>
          <w:iCs/>
          <w:lang w:val="uk-UA"/>
        </w:rPr>
        <w:t xml:space="preserve"> «G.U. v. Turkey», </w:t>
      </w:r>
      <w:proofErr w:type="spellStart"/>
      <w:r w:rsidRPr="00222DB2">
        <w:rPr>
          <w:i/>
          <w:iCs/>
          <w:lang w:val="uk-UA"/>
        </w:rPr>
        <w:t>cited</w:t>
      </w:r>
      <w:proofErr w:type="spellEnd"/>
      <w:r w:rsidRPr="00222DB2">
        <w:rPr>
          <w:i/>
          <w:iCs/>
          <w:lang w:val="uk-UA"/>
        </w:rPr>
        <w:t xml:space="preserve"> </w:t>
      </w:r>
      <w:proofErr w:type="spellStart"/>
      <w:r w:rsidRPr="00222DB2">
        <w:rPr>
          <w:i/>
          <w:iCs/>
          <w:lang w:val="uk-UA"/>
        </w:rPr>
        <w:t>above</w:t>
      </w:r>
      <w:proofErr w:type="spellEnd"/>
      <w:r w:rsidRPr="00222DB2">
        <w:rPr>
          <w:i/>
          <w:iCs/>
          <w:lang w:val="uk-UA"/>
        </w:rPr>
        <w:t xml:space="preserve">, </w:t>
      </w:r>
      <w:r w:rsidRPr="00222DB2">
        <w:rPr>
          <w:rFonts w:cstheme="minorHAnsi"/>
          <w:i/>
          <w:iCs/>
          <w:lang w:val="uk-UA"/>
        </w:rPr>
        <w:t xml:space="preserve">п. </w:t>
      </w:r>
      <w:r w:rsidRPr="00222DB2">
        <w:rPr>
          <w:i/>
          <w:iCs/>
          <w:lang w:val="uk-UA"/>
        </w:rPr>
        <w:t xml:space="preserve">73) </w:t>
      </w:r>
      <w:r w:rsidRPr="00222DB2">
        <w:rPr>
          <w:lang w:val="uk-UA"/>
        </w:rPr>
        <w:t>(п. 99).</w:t>
      </w:r>
    </w:p>
    <w:p w14:paraId="14F361F2" w14:textId="2CC3E0D7" w:rsidR="00E27E84" w:rsidRPr="00222DB2" w:rsidRDefault="00E27E84" w:rsidP="00E27E84">
      <w:pPr>
        <w:pStyle w:val="JuPara"/>
        <w:ind w:firstLine="0"/>
        <w:rPr>
          <w:lang w:val="uk-UA"/>
        </w:rPr>
      </w:pPr>
    </w:p>
    <w:p w14:paraId="097CE936" w14:textId="7263AFA6" w:rsidR="000C2DDD" w:rsidRPr="00222DB2" w:rsidRDefault="000C2DDD" w:rsidP="00027D99">
      <w:pPr>
        <w:pStyle w:val="JuPara"/>
        <w:ind w:firstLine="0"/>
        <w:rPr>
          <w:lang w:val="uk-UA"/>
        </w:rPr>
      </w:pPr>
      <w:r w:rsidRPr="00222DB2">
        <w:rPr>
          <w:lang w:val="uk-UA"/>
        </w:rPr>
        <w:t xml:space="preserve">У цій справі </w:t>
      </w:r>
      <w:r w:rsidR="00027D99" w:rsidRPr="00222DB2">
        <w:rPr>
          <w:lang w:val="uk-UA"/>
        </w:rPr>
        <w:t xml:space="preserve">є </w:t>
      </w:r>
      <w:r w:rsidRPr="00222DB2">
        <w:rPr>
          <w:lang w:val="uk-UA"/>
        </w:rPr>
        <w:t>без</w:t>
      </w:r>
      <w:r w:rsidR="00027D99" w:rsidRPr="00222DB2">
        <w:rPr>
          <w:lang w:val="uk-UA"/>
        </w:rPr>
        <w:t>сумнівним</w:t>
      </w:r>
      <w:r w:rsidRPr="00222DB2">
        <w:rPr>
          <w:lang w:val="uk-UA"/>
        </w:rPr>
        <w:t>, що слідчий жодним чином не давав заявни</w:t>
      </w:r>
      <w:r w:rsidR="00027D99" w:rsidRPr="00222DB2">
        <w:rPr>
          <w:lang w:val="uk-UA"/>
        </w:rPr>
        <w:t>ці</w:t>
      </w:r>
      <w:r w:rsidRPr="00222DB2">
        <w:rPr>
          <w:lang w:val="uk-UA"/>
        </w:rPr>
        <w:t xml:space="preserve"> необхідних вказівок під час </w:t>
      </w:r>
      <w:r w:rsidR="004A64BB" w:rsidRPr="00222DB2">
        <w:rPr>
          <w:lang w:val="uk-UA"/>
        </w:rPr>
        <w:t>допиту</w:t>
      </w:r>
      <w:r w:rsidRPr="00222DB2">
        <w:rPr>
          <w:lang w:val="uk-UA"/>
        </w:rPr>
        <w:t xml:space="preserve"> її як дитини-свідка після відкриття кримінального провадження. </w:t>
      </w:r>
      <w:r w:rsidR="00027D99" w:rsidRPr="00222DB2">
        <w:rPr>
          <w:lang w:val="uk-UA"/>
        </w:rPr>
        <w:t>ЄСПЛ</w:t>
      </w:r>
      <w:r w:rsidRPr="00222DB2">
        <w:rPr>
          <w:lang w:val="uk-UA"/>
        </w:rPr>
        <w:t xml:space="preserve"> зазначає, що вся кримінальна справа в основному спиралася на достовірність свідчень заявни</w:t>
      </w:r>
      <w:r w:rsidR="00027D99" w:rsidRPr="00222DB2">
        <w:rPr>
          <w:lang w:val="uk-UA"/>
        </w:rPr>
        <w:t>ці</w:t>
      </w:r>
      <w:r w:rsidRPr="00222DB2">
        <w:rPr>
          <w:lang w:val="uk-UA"/>
        </w:rPr>
        <w:t>. Однак Верховний Суд виключив ці свідчення повністю з сукупності доказів з процесуальних підстав, пов'язаних з ненаданням слідчим необхідних попереджень</w:t>
      </w:r>
      <w:r w:rsidR="004A64BB" w:rsidRPr="00222DB2">
        <w:rPr>
          <w:lang w:val="uk-UA"/>
        </w:rPr>
        <w:t xml:space="preserve"> заявниці</w:t>
      </w:r>
      <w:r w:rsidRPr="00222DB2">
        <w:rPr>
          <w:lang w:val="uk-UA"/>
        </w:rPr>
        <w:t xml:space="preserve">. Хоча </w:t>
      </w:r>
      <w:r w:rsidR="00027D99" w:rsidRPr="00222DB2">
        <w:rPr>
          <w:lang w:val="uk-UA"/>
        </w:rPr>
        <w:t xml:space="preserve">Верховний Суд </w:t>
      </w:r>
      <w:r w:rsidRPr="00222DB2">
        <w:rPr>
          <w:lang w:val="uk-UA"/>
        </w:rPr>
        <w:t>також вказував на інші процесуальні недоліки, зокрема у рішеннях судів нижчої інстанції, виявлен</w:t>
      </w:r>
      <w:r w:rsidR="00027D99" w:rsidRPr="00222DB2">
        <w:rPr>
          <w:lang w:val="uk-UA"/>
        </w:rPr>
        <w:t>ий процесуальний недолік, допущений</w:t>
      </w:r>
      <w:r w:rsidRPr="00222DB2">
        <w:rPr>
          <w:lang w:val="uk-UA"/>
        </w:rPr>
        <w:t xml:space="preserve"> слідчи</w:t>
      </w:r>
      <w:r w:rsidR="00027D99" w:rsidRPr="00222DB2">
        <w:rPr>
          <w:lang w:val="uk-UA"/>
        </w:rPr>
        <w:t>ми</w:t>
      </w:r>
      <w:r w:rsidRPr="00222DB2">
        <w:rPr>
          <w:lang w:val="uk-UA"/>
        </w:rPr>
        <w:t xml:space="preserve"> орган</w:t>
      </w:r>
      <w:r w:rsidR="00027D99" w:rsidRPr="00222DB2">
        <w:rPr>
          <w:lang w:val="uk-UA"/>
        </w:rPr>
        <w:t>ами</w:t>
      </w:r>
      <w:r w:rsidRPr="00222DB2">
        <w:rPr>
          <w:lang w:val="uk-UA"/>
        </w:rPr>
        <w:t xml:space="preserve"> була сама по собі достатньою для виправдання обвинуваченого. </w:t>
      </w:r>
      <w:r w:rsidR="00027D99" w:rsidRPr="00222DB2">
        <w:rPr>
          <w:lang w:val="uk-UA"/>
        </w:rPr>
        <w:t>ЄСПЛ</w:t>
      </w:r>
      <w:r w:rsidRPr="00222DB2">
        <w:rPr>
          <w:lang w:val="uk-UA"/>
        </w:rPr>
        <w:t xml:space="preserve"> повторює, що національні органи, зокрема суди, мають насамперед тлумачити та застосовувати національне законодавство. Роль </w:t>
      </w:r>
      <w:r w:rsidR="00027D99" w:rsidRPr="00222DB2">
        <w:rPr>
          <w:lang w:val="uk-UA"/>
        </w:rPr>
        <w:t>ЄСПЛ</w:t>
      </w:r>
      <w:r w:rsidRPr="00222DB2">
        <w:rPr>
          <w:lang w:val="uk-UA"/>
        </w:rPr>
        <w:t xml:space="preserve"> зводиться до того, щоб з'ясувати, чи наслідки такого тлумачення </w:t>
      </w:r>
      <w:r w:rsidR="00027D99" w:rsidRPr="00222DB2">
        <w:rPr>
          <w:lang w:val="uk-UA"/>
        </w:rPr>
        <w:t xml:space="preserve">були </w:t>
      </w:r>
      <w:r w:rsidRPr="00222DB2">
        <w:rPr>
          <w:lang w:val="uk-UA"/>
        </w:rPr>
        <w:t>сумісн</w:t>
      </w:r>
      <w:r w:rsidR="00027D99" w:rsidRPr="00222DB2">
        <w:rPr>
          <w:lang w:val="uk-UA"/>
        </w:rPr>
        <w:t>ими</w:t>
      </w:r>
      <w:r w:rsidRPr="00222DB2">
        <w:rPr>
          <w:lang w:val="uk-UA"/>
        </w:rPr>
        <w:t xml:space="preserve"> з Конвенцією </w:t>
      </w:r>
      <w:r w:rsidRPr="00222DB2">
        <w:rPr>
          <w:i/>
          <w:iCs/>
          <w:lang w:val="uk-UA"/>
        </w:rPr>
        <w:t>(</w:t>
      </w:r>
      <w:proofErr w:type="spellStart"/>
      <w:r w:rsidRPr="00222DB2">
        <w:rPr>
          <w:i/>
          <w:iCs/>
          <w:lang w:val="uk-UA"/>
        </w:rPr>
        <w:t>see</w:t>
      </w:r>
      <w:proofErr w:type="spellEnd"/>
      <w:r w:rsidRPr="00222DB2">
        <w:rPr>
          <w:i/>
          <w:iCs/>
          <w:lang w:val="uk-UA"/>
        </w:rPr>
        <w:t xml:space="preserve">, </w:t>
      </w:r>
      <w:proofErr w:type="spellStart"/>
      <w:r w:rsidRPr="00222DB2">
        <w:rPr>
          <w:i/>
          <w:iCs/>
          <w:lang w:val="uk-UA"/>
        </w:rPr>
        <w:t>among</w:t>
      </w:r>
      <w:proofErr w:type="spellEnd"/>
      <w:r w:rsidRPr="00222DB2">
        <w:rPr>
          <w:i/>
          <w:iCs/>
          <w:lang w:val="uk-UA"/>
        </w:rPr>
        <w:t xml:space="preserve"> other </w:t>
      </w:r>
      <w:proofErr w:type="spellStart"/>
      <w:r w:rsidRPr="00222DB2">
        <w:rPr>
          <w:i/>
          <w:iCs/>
          <w:lang w:val="uk-UA"/>
        </w:rPr>
        <w:t>authorities</w:t>
      </w:r>
      <w:proofErr w:type="spellEnd"/>
      <w:r w:rsidRPr="00222DB2">
        <w:rPr>
          <w:i/>
          <w:iCs/>
          <w:lang w:val="uk-UA"/>
        </w:rPr>
        <w:t>, «</w:t>
      </w:r>
      <w:proofErr w:type="spellStart"/>
      <w:r w:rsidRPr="00222DB2">
        <w:rPr>
          <w:i/>
          <w:iCs/>
          <w:lang w:val="uk-UA"/>
        </w:rPr>
        <w:t>Selahattin</w:t>
      </w:r>
      <w:proofErr w:type="spellEnd"/>
      <w:r w:rsidRPr="00222DB2">
        <w:rPr>
          <w:i/>
          <w:iCs/>
          <w:lang w:val="uk-UA"/>
        </w:rPr>
        <w:t xml:space="preserve"> </w:t>
      </w:r>
      <w:proofErr w:type="spellStart"/>
      <w:r w:rsidRPr="00222DB2">
        <w:rPr>
          <w:i/>
          <w:iCs/>
          <w:lang w:val="uk-UA"/>
        </w:rPr>
        <w:t>Demirtaş</w:t>
      </w:r>
      <w:proofErr w:type="spellEnd"/>
      <w:r w:rsidRPr="00222DB2">
        <w:rPr>
          <w:i/>
          <w:iCs/>
          <w:lang w:val="uk-UA"/>
        </w:rPr>
        <w:t xml:space="preserve"> v. Turkey (</w:t>
      </w:r>
      <w:proofErr w:type="spellStart"/>
      <w:r w:rsidRPr="00222DB2">
        <w:rPr>
          <w:i/>
          <w:iCs/>
          <w:lang w:val="uk-UA"/>
        </w:rPr>
        <w:t>no</w:t>
      </w:r>
      <w:proofErr w:type="spellEnd"/>
      <w:r w:rsidRPr="00222DB2">
        <w:rPr>
          <w:i/>
          <w:iCs/>
          <w:lang w:val="uk-UA"/>
        </w:rPr>
        <w:t xml:space="preserve">. 2) v. Turkey» [GC], № 14305/17, п. 249) </w:t>
      </w:r>
      <w:r w:rsidR="00027D99" w:rsidRPr="00222DB2">
        <w:rPr>
          <w:lang w:val="uk-UA"/>
        </w:rPr>
        <w:t>(</w:t>
      </w:r>
      <w:r w:rsidRPr="00222DB2">
        <w:rPr>
          <w:lang w:val="uk-UA"/>
        </w:rPr>
        <w:t>п. 100</w:t>
      </w:r>
      <w:r w:rsidR="00027D99" w:rsidRPr="00222DB2">
        <w:rPr>
          <w:lang w:val="uk-UA"/>
        </w:rPr>
        <w:t>)</w:t>
      </w:r>
      <w:r w:rsidRPr="00222DB2">
        <w:rPr>
          <w:lang w:val="uk-UA"/>
        </w:rPr>
        <w:t>.</w:t>
      </w:r>
    </w:p>
    <w:p w14:paraId="07F25040" w14:textId="6CF7A547" w:rsidR="000C2DDD" w:rsidRPr="00222DB2" w:rsidRDefault="000C2DDD" w:rsidP="00027D99">
      <w:pPr>
        <w:pStyle w:val="JuPara"/>
        <w:ind w:firstLine="0"/>
        <w:rPr>
          <w:lang w:val="uk-UA"/>
        </w:rPr>
      </w:pPr>
    </w:p>
    <w:p w14:paraId="5B9F317A" w14:textId="110748DB" w:rsidR="00791109" w:rsidRPr="00222DB2" w:rsidRDefault="00791109" w:rsidP="00027D99">
      <w:pPr>
        <w:pStyle w:val="JuPara"/>
        <w:ind w:firstLine="0"/>
        <w:rPr>
          <w:lang w:val="uk-UA"/>
        </w:rPr>
      </w:pPr>
      <w:r w:rsidRPr="00222DB2">
        <w:rPr>
          <w:lang w:val="uk-UA"/>
        </w:rPr>
        <w:t xml:space="preserve">У цій справі </w:t>
      </w:r>
      <w:proofErr w:type="spellStart"/>
      <w:r w:rsidRPr="00222DB2">
        <w:rPr>
          <w:lang w:val="uk-UA"/>
        </w:rPr>
        <w:t>неоголошення</w:t>
      </w:r>
      <w:proofErr w:type="spellEnd"/>
      <w:r w:rsidRPr="00222DB2">
        <w:rPr>
          <w:lang w:val="uk-UA"/>
        </w:rPr>
        <w:t xml:space="preserve"> заявниці, 4-річній дитині, попереджень, загалом необхідних законом для будь-яких свідчень свідків, та наслідки, що випливають з </w:t>
      </w:r>
      <w:r w:rsidRPr="00222DB2">
        <w:rPr>
          <w:lang w:val="uk-UA"/>
        </w:rPr>
        <w:lastRenderedPageBreak/>
        <w:t xml:space="preserve">цієї процесуальної помилки, визначені Верховним Судом, призвели до визнання свідчень недопустимими для цілей засудження обвинуваченого. Оскільки засудження останнього в значній мірі ґрунтувалося на </w:t>
      </w:r>
      <w:r w:rsidR="004A64BB" w:rsidRPr="00222DB2">
        <w:rPr>
          <w:lang w:val="uk-UA"/>
        </w:rPr>
        <w:t>показаннях</w:t>
      </w:r>
      <w:r w:rsidRPr="00222DB2">
        <w:rPr>
          <w:lang w:val="uk-UA"/>
        </w:rPr>
        <w:t xml:space="preserve"> заявниці і оскільки не було ніякого способу виправити пов'язану з </w:t>
      </w:r>
      <w:r w:rsidR="004A64BB" w:rsidRPr="00222DB2">
        <w:rPr>
          <w:lang w:val="uk-UA"/>
        </w:rPr>
        <w:t>ц</w:t>
      </w:r>
      <w:r w:rsidRPr="00222DB2">
        <w:rPr>
          <w:lang w:val="uk-UA"/>
        </w:rPr>
        <w:t xml:space="preserve">им процесуальну помилку, обвинуваченого довелося виправдати. Окрім питання, чи можна взагалі вважати такі попередження доречними у такій справі, як ця, рішення Верховного Суду у поєднанні з бездіяльністю слідчого підірвало ефективне кримінальне переслідування </w:t>
      </w:r>
      <w:r w:rsidR="004A64BB" w:rsidRPr="00222DB2">
        <w:rPr>
          <w:lang w:val="uk-UA"/>
        </w:rPr>
        <w:t>стверджуваних злочинів</w:t>
      </w:r>
      <w:r w:rsidRPr="00222DB2">
        <w:rPr>
          <w:lang w:val="uk-UA"/>
        </w:rPr>
        <w:t xml:space="preserve">. Це пояснюється тим, що з огляду на неможливість повторного розгляду справи у судах нижчої інстанції, </w:t>
      </w:r>
      <w:r w:rsidR="004A64BB" w:rsidRPr="00222DB2">
        <w:rPr>
          <w:lang w:val="uk-UA"/>
        </w:rPr>
        <w:t>воно</w:t>
      </w:r>
      <w:r w:rsidRPr="00222DB2">
        <w:rPr>
          <w:lang w:val="uk-UA"/>
        </w:rPr>
        <w:t xml:space="preserve"> в кінцевому підсумку не змогл</w:t>
      </w:r>
      <w:r w:rsidR="004A64BB" w:rsidRPr="00222DB2">
        <w:rPr>
          <w:lang w:val="uk-UA"/>
        </w:rPr>
        <w:t>о</w:t>
      </w:r>
      <w:r w:rsidRPr="00222DB2">
        <w:rPr>
          <w:lang w:val="uk-UA"/>
        </w:rPr>
        <w:t xml:space="preserve"> встановити факти справи та вирішити питання про вину стверджуваного злочинця.</w:t>
      </w:r>
    </w:p>
    <w:p w14:paraId="0740ECB6" w14:textId="60C5BA3D" w:rsidR="00791109" w:rsidRPr="00222DB2" w:rsidRDefault="00791109" w:rsidP="00027D99">
      <w:pPr>
        <w:pStyle w:val="JuPara"/>
        <w:ind w:firstLine="0"/>
        <w:rPr>
          <w:lang w:val="uk-UA"/>
        </w:rPr>
      </w:pPr>
    </w:p>
    <w:p w14:paraId="7FA9F6EB" w14:textId="4B6A6785" w:rsidR="00027D99" w:rsidRPr="00222DB2" w:rsidRDefault="00027D99" w:rsidP="00027D99">
      <w:pPr>
        <w:pStyle w:val="JuPara"/>
        <w:ind w:firstLine="0"/>
        <w:rPr>
          <w:lang w:val="uk-UA"/>
        </w:rPr>
      </w:pPr>
      <w:r w:rsidRPr="00222DB2">
        <w:rPr>
          <w:lang w:val="uk-UA"/>
        </w:rPr>
        <w:t xml:space="preserve">ЄСПЛ вважає, що для ефективного захисту прав дітей відповідно до міжнародних стандартів дуже важливо захистити їх свідчення як під час досудового розслідування, так і під час судового розгляду. Естонське законодавство, що стосується попереджень для свідків, не проводить </w:t>
      </w:r>
      <w:r w:rsidR="00834381">
        <w:rPr>
          <w:lang w:val="uk-UA"/>
        </w:rPr>
        <w:t>відмінності</w:t>
      </w:r>
      <w:r w:rsidRPr="00222DB2">
        <w:rPr>
          <w:lang w:val="uk-UA"/>
        </w:rPr>
        <w:t xml:space="preserve"> між свідками відповідно до їх віку, а отже, не передбачає винятків або адаптацій для свідків-дітей. У зв’язку з цим ЄСПЛ зазначає, що відповідно до Керівних принципів Комітету міністрів Ради Європи щодо правосуддя, дружнього до дітей, де застосовуються менш суворі правила щодо дачі показань чи інші заходи, придатні для дитини, такі заходи самі по собі не повинні зменшувати значення до свідчень чи доказів дитини без шкоди для прав на захист </w:t>
      </w:r>
      <w:r w:rsidRPr="00222DB2">
        <w:rPr>
          <w:i/>
          <w:iCs/>
          <w:lang w:val="uk-UA"/>
        </w:rPr>
        <w:t>(п.п. 52-53).</w:t>
      </w:r>
      <w:r w:rsidRPr="00222DB2">
        <w:rPr>
          <w:lang w:val="uk-UA"/>
        </w:rPr>
        <w:t xml:space="preserve"> Однак у цій справі свідчення заявниці були визнан</w:t>
      </w:r>
      <w:r w:rsidR="00B54393">
        <w:rPr>
          <w:lang w:val="uk-UA"/>
        </w:rPr>
        <w:t>і</w:t>
      </w:r>
      <w:r w:rsidRPr="00222DB2">
        <w:rPr>
          <w:lang w:val="uk-UA"/>
        </w:rPr>
        <w:t xml:space="preserve"> недопустимими саме через суворе застосування процесуальних правил, що не робили </w:t>
      </w:r>
      <w:r w:rsidR="00834381">
        <w:rPr>
          <w:lang w:val="uk-UA"/>
        </w:rPr>
        <w:t>відмінності</w:t>
      </w:r>
      <w:r w:rsidRPr="00222DB2">
        <w:rPr>
          <w:lang w:val="uk-UA"/>
        </w:rPr>
        <w:t xml:space="preserve"> між дорослими та дітьми. ЄСПЛ повторює, що його не турбує відповідальність будь-якого конкретного національного органу, оскільки те, що йдеться у всіх справах, що розглядаються, – це міжнародна відповідальність держави </w:t>
      </w:r>
      <w:r w:rsidRPr="00222DB2">
        <w:rPr>
          <w:i/>
          <w:iCs/>
          <w:lang w:val="uk-UA"/>
        </w:rPr>
        <w:t>(</w:t>
      </w:r>
      <w:proofErr w:type="spellStart"/>
      <w:r w:rsidRPr="00222DB2">
        <w:rPr>
          <w:i/>
          <w:iCs/>
          <w:lang w:val="uk-UA"/>
        </w:rPr>
        <w:t>see</w:t>
      </w:r>
      <w:proofErr w:type="spellEnd"/>
      <w:r w:rsidRPr="00222DB2">
        <w:rPr>
          <w:i/>
          <w:iCs/>
          <w:lang w:val="uk-UA"/>
        </w:rPr>
        <w:t xml:space="preserve">, </w:t>
      </w:r>
      <w:proofErr w:type="spellStart"/>
      <w:r w:rsidRPr="00222DB2">
        <w:rPr>
          <w:i/>
          <w:iCs/>
          <w:lang w:val="uk-UA"/>
        </w:rPr>
        <w:t>among</w:t>
      </w:r>
      <w:proofErr w:type="spellEnd"/>
      <w:r w:rsidRPr="00222DB2">
        <w:rPr>
          <w:i/>
          <w:iCs/>
          <w:lang w:val="uk-UA"/>
        </w:rPr>
        <w:t xml:space="preserve"> other </w:t>
      </w:r>
      <w:proofErr w:type="spellStart"/>
      <w:r w:rsidRPr="00222DB2">
        <w:rPr>
          <w:i/>
          <w:iCs/>
          <w:lang w:val="uk-UA"/>
        </w:rPr>
        <w:t>authorities</w:t>
      </w:r>
      <w:proofErr w:type="spellEnd"/>
      <w:r w:rsidRPr="00222DB2">
        <w:rPr>
          <w:i/>
          <w:iCs/>
          <w:lang w:val="uk-UA"/>
        </w:rPr>
        <w:t xml:space="preserve">, </w:t>
      </w:r>
      <w:proofErr w:type="spellStart"/>
      <w:r w:rsidRPr="00222DB2">
        <w:rPr>
          <w:i/>
          <w:iCs/>
          <w:lang w:val="uk-UA"/>
        </w:rPr>
        <w:t>Tarariyeva</w:t>
      </w:r>
      <w:proofErr w:type="spellEnd"/>
      <w:r w:rsidRPr="00222DB2">
        <w:rPr>
          <w:i/>
          <w:iCs/>
          <w:lang w:val="uk-UA"/>
        </w:rPr>
        <w:t xml:space="preserve"> v. Russia, № 4353/03, п. 85 (</w:t>
      </w:r>
      <w:proofErr w:type="spellStart"/>
      <w:r w:rsidRPr="00222DB2">
        <w:rPr>
          <w:i/>
          <w:iCs/>
          <w:lang w:val="uk-UA"/>
        </w:rPr>
        <w:t>extracts</w:t>
      </w:r>
      <w:proofErr w:type="spellEnd"/>
      <w:r w:rsidRPr="00222DB2">
        <w:rPr>
          <w:i/>
          <w:iCs/>
          <w:lang w:val="uk-UA"/>
        </w:rPr>
        <w:t>)</w:t>
      </w:r>
      <w:r w:rsidRPr="00222DB2">
        <w:rPr>
          <w:lang w:val="uk-UA"/>
        </w:rPr>
        <w:t xml:space="preserve"> (п. 10</w:t>
      </w:r>
      <w:r w:rsidR="00791109" w:rsidRPr="00222DB2">
        <w:rPr>
          <w:lang w:val="uk-UA"/>
        </w:rPr>
        <w:t>2</w:t>
      </w:r>
      <w:r w:rsidRPr="00222DB2">
        <w:rPr>
          <w:lang w:val="uk-UA"/>
        </w:rPr>
        <w:t>).</w:t>
      </w:r>
    </w:p>
    <w:p w14:paraId="146039CE" w14:textId="4A964D02" w:rsidR="000C2DDD" w:rsidRPr="00222DB2" w:rsidRDefault="000C2DDD" w:rsidP="00267CCE">
      <w:pPr>
        <w:pStyle w:val="JuPara"/>
        <w:rPr>
          <w:lang w:val="uk-UA"/>
        </w:rPr>
      </w:pPr>
    </w:p>
    <w:p w14:paraId="3EBD549B" w14:textId="77777777" w:rsidR="00222DB2" w:rsidRPr="00222DB2" w:rsidRDefault="00791109" w:rsidP="00791109">
      <w:pPr>
        <w:pStyle w:val="JuPara"/>
        <w:ind w:firstLine="0"/>
        <w:rPr>
          <w:lang w:val="uk-UA"/>
        </w:rPr>
      </w:pPr>
      <w:r w:rsidRPr="00222DB2">
        <w:rPr>
          <w:lang w:val="uk-UA"/>
        </w:rPr>
        <w:t>З огляду на викладене вище, ЄСПЛ вважає, що в процедурному аспекті реакці</w:t>
      </w:r>
      <w:r w:rsidR="004A64BB" w:rsidRPr="00222DB2">
        <w:rPr>
          <w:lang w:val="uk-UA"/>
        </w:rPr>
        <w:t>я</w:t>
      </w:r>
      <w:r w:rsidRPr="00222DB2">
        <w:rPr>
          <w:lang w:val="uk-UA"/>
        </w:rPr>
        <w:t xml:space="preserve"> національної влади на скарги заявниці про зґвалтування та сексуальне насильство з боку її батька </w:t>
      </w:r>
      <w:r w:rsidR="00222DB2" w:rsidRPr="00222DB2">
        <w:rPr>
          <w:lang w:val="uk-UA"/>
        </w:rPr>
        <w:t>містила</w:t>
      </w:r>
      <w:r w:rsidRPr="00222DB2">
        <w:rPr>
          <w:lang w:val="uk-UA"/>
        </w:rPr>
        <w:t xml:space="preserve"> значні недоліки, які недостатньо врахували її особливу вразливість та відповідні потреби як маленької дитини, щоб забезпечити їй ефективний захист як </w:t>
      </w:r>
      <w:r w:rsidR="00222DB2" w:rsidRPr="00222DB2">
        <w:rPr>
          <w:lang w:val="uk-UA"/>
        </w:rPr>
        <w:t>стверджуваної</w:t>
      </w:r>
      <w:r w:rsidRPr="00222DB2">
        <w:rPr>
          <w:lang w:val="uk-UA"/>
        </w:rPr>
        <w:t xml:space="preserve"> жертви сексуальних злочинів</w:t>
      </w:r>
      <w:r w:rsidR="00222DB2" w:rsidRPr="00222DB2">
        <w:rPr>
          <w:lang w:val="uk-UA"/>
        </w:rPr>
        <w:t xml:space="preserve"> (п. 103).</w:t>
      </w:r>
    </w:p>
    <w:p w14:paraId="051BFAA6" w14:textId="77777777" w:rsidR="00222DB2" w:rsidRPr="00222DB2" w:rsidRDefault="00222DB2" w:rsidP="00791109">
      <w:pPr>
        <w:pStyle w:val="JuPara"/>
        <w:ind w:firstLine="0"/>
        <w:rPr>
          <w:lang w:val="uk-UA"/>
        </w:rPr>
      </w:pPr>
    </w:p>
    <w:p w14:paraId="4D4ACB96" w14:textId="5676C6B1" w:rsidR="00791109" w:rsidRPr="00222DB2" w:rsidRDefault="00791109" w:rsidP="00791109">
      <w:pPr>
        <w:pStyle w:val="JuPara"/>
        <w:ind w:firstLine="0"/>
        <w:rPr>
          <w:lang w:val="uk-UA"/>
        </w:rPr>
      </w:pPr>
      <w:r w:rsidRPr="00222DB2">
        <w:rPr>
          <w:lang w:val="uk-UA"/>
        </w:rPr>
        <w:t>Відповідно, ЄСПЛ, не висловлюючи думки щодо вини обвинуваченого, приходить до висновку, що спосіб реалізації кримінально-правових механізмів у цілому у цій справі, що призвів до вирішення справи з процесуальних підстав, був недосконалим тако</w:t>
      </w:r>
      <w:r w:rsidR="00222DB2" w:rsidRPr="00222DB2">
        <w:rPr>
          <w:lang w:val="uk-UA"/>
        </w:rPr>
        <w:t>ю</w:t>
      </w:r>
      <w:r w:rsidRPr="00222DB2">
        <w:rPr>
          <w:lang w:val="uk-UA"/>
        </w:rPr>
        <w:t xml:space="preserve"> мір</w:t>
      </w:r>
      <w:r w:rsidR="00222DB2" w:rsidRPr="00222DB2">
        <w:rPr>
          <w:lang w:val="uk-UA"/>
        </w:rPr>
        <w:t>ою</w:t>
      </w:r>
      <w:r w:rsidRPr="00222DB2">
        <w:rPr>
          <w:lang w:val="uk-UA"/>
        </w:rPr>
        <w:t xml:space="preserve">, що </w:t>
      </w:r>
      <w:r w:rsidR="00222DB2" w:rsidRPr="00222DB2">
        <w:rPr>
          <w:lang w:val="uk-UA"/>
        </w:rPr>
        <w:t>відбулося</w:t>
      </w:r>
      <w:r w:rsidRPr="00222DB2">
        <w:rPr>
          <w:lang w:val="uk-UA"/>
        </w:rPr>
        <w:t xml:space="preserve"> порушення позитивних зобов'язань держави-відповідача за ст. 3 і ст. 8 Конвенції (п. 103).</w:t>
      </w:r>
    </w:p>
    <w:p w14:paraId="21AA48F0" w14:textId="77777777" w:rsidR="00791109" w:rsidRPr="00222DB2" w:rsidRDefault="00791109" w:rsidP="00791109">
      <w:pPr>
        <w:pStyle w:val="JuPara"/>
        <w:ind w:firstLine="0"/>
        <w:rPr>
          <w:lang w:val="uk-UA"/>
        </w:rPr>
      </w:pPr>
    </w:p>
    <w:p w14:paraId="3519CC7E" w14:textId="77CF8F26" w:rsidR="005C0C1E" w:rsidRDefault="00791109" w:rsidP="00222DB2">
      <w:pPr>
        <w:pStyle w:val="JuPara"/>
        <w:ind w:firstLine="0"/>
        <w:rPr>
          <w:lang w:val="uk-UA"/>
        </w:rPr>
      </w:pPr>
      <w:r w:rsidRPr="00222DB2">
        <w:rPr>
          <w:lang w:val="uk-UA"/>
        </w:rPr>
        <w:t>Отже, мало місце порушення ст. 3 і ст. 8 Конвенції (п. 104)</w:t>
      </w:r>
      <w:r w:rsidR="00222DB2" w:rsidRPr="00222DB2">
        <w:rPr>
          <w:lang w:val="uk-UA"/>
        </w:rPr>
        <w:t>.</w:t>
      </w:r>
    </w:p>
    <w:p w14:paraId="70B38D07" w14:textId="333638DC" w:rsidR="00591637" w:rsidRDefault="00591637" w:rsidP="00222DB2">
      <w:pPr>
        <w:pStyle w:val="JuPara"/>
        <w:ind w:firstLine="0"/>
        <w:rPr>
          <w:lang w:val="uk-UA"/>
        </w:rPr>
      </w:pPr>
    </w:p>
    <w:p w14:paraId="42301861" w14:textId="4A240D84" w:rsidR="00591637" w:rsidRDefault="00591637" w:rsidP="00591637">
      <w:pPr>
        <w:pStyle w:val="JuPara"/>
        <w:ind w:firstLine="0"/>
        <w:jc w:val="center"/>
        <w:rPr>
          <w:lang w:val="uk-UA"/>
        </w:rPr>
      </w:pPr>
      <w:r w:rsidRPr="00222DB2">
        <w:rPr>
          <w:noProof/>
          <w:lang w:val="uk-UA"/>
        </w:rPr>
        <w:drawing>
          <wp:inline distT="0" distB="0" distL="0" distR="0" wp14:anchorId="64275758" wp14:editId="544EB55E">
            <wp:extent cx="1385887" cy="692943"/>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1"/>
                    <a:stretch>
                      <a:fillRect/>
                    </a:stretch>
                  </pic:blipFill>
                  <pic:spPr>
                    <a:xfrm>
                      <a:off x="0" y="0"/>
                      <a:ext cx="1411516" cy="705757"/>
                    </a:xfrm>
                    <a:prstGeom prst="rect">
                      <a:avLst/>
                    </a:prstGeom>
                  </pic:spPr>
                </pic:pic>
              </a:graphicData>
            </a:graphic>
          </wp:inline>
        </w:drawing>
      </w:r>
    </w:p>
    <w:p w14:paraId="7A173181" w14:textId="66D32C8E" w:rsidR="00591637" w:rsidRDefault="00591637" w:rsidP="00222DB2">
      <w:pPr>
        <w:pStyle w:val="JuPara"/>
        <w:ind w:firstLine="0"/>
        <w:rPr>
          <w:lang w:val="uk-UA"/>
        </w:rPr>
      </w:pPr>
    </w:p>
    <w:p w14:paraId="4E6125D1" w14:textId="77777777" w:rsidR="00591637" w:rsidRPr="00222DB2" w:rsidRDefault="00591637" w:rsidP="00222DB2">
      <w:pPr>
        <w:pStyle w:val="JuPara"/>
        <w:ind w:firstLine="0"/>
        <w:rPr>
          <w:lang w:val="uk-UA"/>
        </w:rPr>
      </w:pPr>
    </w:p>
    <w:p w14:paraId="5BA56358" w14:textId="6738EF7E" w:rsidR="009371BD" w:rsidRPr="00591637" w:rsidRDefault="00591637" w:rsidP="00791109">
      <w:pPr>
        <w:pStyle w:val="JuHHead"/>
        <w:jc w:val="center"/>
        <w:rPr>
          <w:rFonts w:ascii="Verdana" w:hAnsi="Verdana"/>
          <w:b/>
          <w:bCs w:val="0"/>
          <w:color w:val="C00000"/>
          <w:sz w:val="21"/>
          <w:szCs w:val="21"/>
          <w:lang w:val="uk-UA"/>
        </w:rPr>
      </w:pPr>
      <w:r>
        <w:rPr>
          <w:rFonts w:ascii="Verdana" w:hAnsi="Verdana"/>
          <w:b/>
          <w:bCs w:val="0"/>
          <w:color w:val="C00000"/>
          <w:sz w:val="21"/>
          <w:szCs w:val="21"/>
          <w:lang w:val="uk-UA"/>
        </w:rPr>
        <w:t>Р</w:t>
      </w:r>
      <w:r w:rsidR="00791109" w:rsidRPr="00591637">
        <w:rPr>
          <w:rFonts w:ascii="Verdana" w:hAnsi="Verdana"/>
          <w:b/>
          <w:bCs w:val="0"/>
          <w:color w:val="C00000"/>
          <w:sz w:val="21"/>
          <w:szCs w:val="21"/>
          <w:lang w:val="uk-UA"/>
        </w:rPr>
        <w:t>ОЗБІЖНА ДУМКА СУДДІ</w:t>
      </w:r>
      <w:r w:rsidR="005F0FD6" w:rsidRPr="00591637">
        <w:rPr>
          <w:rFonts w:ascii="Verdana" w:hAnsi="Verdana"/>
          <w:b/>
          <w:bCs w:val="0"/>
          <w:color w:val="C00000"/>
          <w:sz w:val="21"/>
          <w:szCs w:val="21"/>
          <w:lang w:val="uk-UA"/>
        </w:rPr>
        <w:t xml:space="preserve"> SEIBERT-FOHR</w:t>
      </w:r>
    </w:p>
    <w:p w14:paraId="0A6062D0" w14:textId="226ED875" w:rsidR="009371BD" w:rsidRDefault="004353E6" w:rsidP="00791109">
      <w:pPr>
        <w:pStyle w:val="JuPara"/>
        <w:ind w:firstLine="0"/>
        <w:rPr>
          <w:lang w:val="uk-UA"/>
        </w:rPr>
      </w:pPr>
      <w:r>
        <w:rPr>
          <w:lang w:val="uk-UA"/>
        </w:rPr>
        <w:t>П</w:t>
      </w:r>
      <w:r w:rsidRPr="00222DB2">
        <w:rPr>
          <w:lang w:val="uk-UA"/>
        </w:rPr>
        <w:t>огоджу</w:t>
      </w:r>
      <w:r>
        <w:rPr>
          <w:lang w:val="uk-UA"/>
        </w:rPr>
        <w:t>ючись</w:t>
      </w:r>
      <w:r w:rsidR="00791109" w:rsidRPr="00222DB2">
        <w:rPr>
          <w:lang w:val="uk-UA"/>
        </w:rPr>
        <w:t xml:space="preserve"> з висновками Суду, я вказую окремо </w:t>
      </w:r>
      <w:r w:rsidR="00091694" w:rsidRPr="00222DB2">
        <w:rPr>
          <w:lang w:val="uk-UA"/>
        </w:rPr>
        <w:t>на питання</w:t>
      </w:r>
      <w:r w:rsidR="00791109" w:rsidRPr="00222DB2">
        <w:rPr>
          <w:lang w:val="uk-UA"/>
        </w:rPr>
        <w:t xml:space="preserve"> вичерпання </w:t>
      </w:r>
      <w:r w:rsidR="00091694" w:rsidRPr="00222DB2">
        <w:rPr>
          <w:lang w:val="uk-UA"/>
        </w:rPr>
        <w:t>національних</w:t>
      </w:r>
      <w:r w:rsidR="00791109" w:rsidRPr="00222DB2">
        <w:rPr>
          <w:lang w:val="uk-UA"/>
        </w:rPr>
        <w:t xml:space="preserve"> засобів правового захисту, щоб </w:t>
      </w:r>
      <w:r w:rsidR="00222DB2">
        <w:rPr>
          <w:lang w:val="uk-UA"/>
        </w:rPr>
        <w:t>на</w:t>
      </w:r>
      <w:r w:rsidR="00791109" w:rsidRPr="00222DB2">
        <w:rPr>
          <w:lang w:val="uk-UA"/>
        </w:rPr>
        <w:t xml:space="preserve">дати інше обґрунтування. На мою думку, у цій справі </w:t>
      </w:r>
      <w:r>
        <w:rPr>
          <w:lang w:val="uk-UA"/>
        </w:rPr>
        <w:t>ЄСПЛ</w:t>
      </w:r>
      <w:r w:rsidR="00791109" w:rsidRPr="00222DB2">
        <w:rPr>
          <w:lang w:val="uk-UA"/>
        </w:rPr>
        <w:t xml:space="preserve"> мав б</w:t>
      </w:r>
      <w:r w:rsidR="00091694" w:rsidRPr="00222DB2">
        <w:rPr>
          <w:lang w:val="uk-UA"/>
        </w:rPr>
        <w:t xml:space="preserve">и приділити увагу </w:t>
      </w:r>
      <w:r w:rsidR="00791109" w:rsidRPr="00222DB2">
        <w:rPr>
          <w:lang w:val="uk-UA"/>
        </w:rPr>
        <w:t>ефективн</w:t>
      </w:r>
      <w:r w:rsidR="00091694" w:rsidRPr="00222DB2">
        <w:rPr>
          <w:lang w:val="uk-UA"/>
        </w:rPr>
        <w:t>ості</w:t>
      </w:r>
      <w:r w:rsidR="00791109" w:rsidRPr="00222DB2">
        <w:rPr>
          <w:lang w:val="uk-UA"/>
        </w:rPr>
        <w:t xml:space="preserve"> провадження щодо відповідальності держави. Це не просто формальність, а</w:t>
      </w:r>
      <w:r>
        <w:rPr>
          <w:lang w:val="uk-UA"/>
        </w:rPr>
        <w:t>дж</w:t>
      </w:r>
      <w:r w:rsidR="00791109" w:rsidRPr="00222DB2">
        <w:rPr>
          <w:lang w:val="uk-UA"/>
        </w:rPr>
        <w:t xml:space="preserve">е </w:t>
      </w:r>
      <w:r>
        <w:rPr>
          <w:lang w:val="uk-UA"/>
        </w:rPr>
        <w:t>зазначене питання має</w:t>
      </w:r>
      <w:r w:rsidR="00791109" w:rsidRPr="00222DB2">
        <w:rPr>
          <w:lang w:val="uk-UA"/>
        </w:rPr>
        <w:t xml:space="preserve"> відношення до субсидіарності механізму Конвенції </w:t>
      </w:r>
      <w:r>
        <w:rPr>
          <w:lang w:val="uk-UA"/>
        </w:rPr>
        <w:t>у</w:t>
      </w:r>
      <w:r w:rsidR="00791109" w:rsidRPr="00222DB2">
        <w:rPr>
          <w:lang w:val="uk-UA"/>
        </w:rPr>
        <w:t xml:space="preserve"> більш загальному вигляді </w:t>
      </w:r>
      <w:r w:rsidR="00791109" w:rsidRPr="00222DB2">
        <w:rPr>
          <w:i/>
          <w:iCs/>
          <w:lang w:val="uk-UA"/>
        </w:rPr>
        <w:t>(</w:t>
      </w:r>
      <w:proofErr w:type="spellStart"/>
      <w:r w:rsidR="00791109" w:rsidRPr="00222DB2">
        <w:rPr>
          <w:i/>
          <w:iCs/>
          <w:lang w:val="uk-UA"/>
        </w:rPr>
        <w:t>see</w:t>
      </w:r>
      <w:proofErr w:type="spellEnd"/>
      <w:r w:rsidR="00791109" w:rsidRPr="00222DB2">
        <w:rPr>
          <w:i/>
          <w:iCs/>
          <w:lang w:val="uk-UA"/>
        </w:rPr>
        <w:t xml:space="preserve"> «</w:t>
      </w:r>
      <w:proofErr w:type="spellStart"/>
      <w:r w:rsidR="00791109" w:rsidRPr="00222DB2">
        <w:rPr>
          <w:i/>
          <w:iCs/>
          <w:lang w:val="uk-UA"/>
        </w:rPr>
        <w:t>Selmouni</w:t>
      </w:r>
      <w:proofErr w:type="spellEnd"/>
      <w:r w:rsidR="00791109" w:rsidRPr="00222DB2">
        <w:rPr>
          <w:i/>
          <w:iCs/>
          <w:lang w:val="uk-UA"/>
        </w:rPr>
        <w:t xml:space="preserve"> v. France» [GC], № 25803/94, п. 74; «</w:t>
      </w:r>
      <w:proofErr w:type="spellStart"/>
      <w:r w:rsidR="00791109" w:rsidRPr="00222DB2">
        <w:rPr>
          <w:i/>
          <w:iCs/>
          <w:lang w:val="uk-UA"/>
        </w:rPr>
        <w:t>Kudła</w:t>
      </w:r>
      <w:proofErr w:type="spellEnd"/>
      <w:r w:rsidR="00791109" w:rsidRPr="00222DB2">
        <w:rPr>
          <w:i/>
          <w:iCs/>
          <w:lang w:val="uk-UA"/>
        </w:rPr>
        <w:t xml:space="preserve"> v. Poland» [GC], № 30210/96, п. 152; «</w:t>
      </w:r>
      <w:proofErr w:type="spellStart"/>
      <w:r w:rsidR="00791109" w:rsidRPr="00222DB2">
        <w:rPr>
          <w:i/>
          <w:iCs/>
          <w:lang w:val="uk-UA"/>
        </w:rPr>
        <w:t>Andrášik</w:t>
      </w:r>
      <w:proofErr w:type="spellEnd"/>
      <w:r w:rsidR="00791109" w:rsidRPr="00222DB2">
        <w:rPr>
          <w:i/>
          <w:iCs/>
          <w:lang w:val="uk-UA"/>
        </w:rPr>
        <w:t xml:space="preserve"> and Others v. </w:t>
      </w:r>
      <w:proofErr w:type="spellStart"/>
      <w:r w:rsidR="00791109" w:rsidRPr="00222DB2">
        <w:rPr>
          <w:i/>
          <w:iCs/>
          <w:lang w:val="uk-UA"/>
        </w:rPr>
        <w:t>Slovakia</w:t>
      </w:r>
      <w:proofErr w:type="spellEnd"/>
      <w:r w:rsidR="00791109" w:rsidRPr="00222DB2">
        <w:rPr>
          <w:i/>
          <w:iCs/>
          <w:lang w:val="uk-UA"/>
        </w:rPr>
        <w:t>» (</w:t>
      </w:r>
      <w:proofErr w:type="spellStart"/>
      <w:r w:rsidR="00791109" w:rsidRPr="00222DB2">
        <w:rPr>
          <w:i/>
          <w:iCs/>
          <w:lang w:val="uk-UA"/>
        </w:rPr>
        <w:t>dec</w:t>
      </w:r>
      <w:proofErr w:type="spellEnd"/>
      <w:r w:rsidR="00791109" w:rsidRPr="00222DB2">
        <w:rPr>
          <w:i/>
          <w:iCs/>
          <w:lang w:val="uk-UA"/>
        </w:rPr>
        <w:t xml:space="preserve">.), №№ 57984/00 and 6 others). </w:t>
      </w:r>
      <w:r w:rsidR="00791109" w:rsidRPr="00222DB2">
        <w:rPr>
          <w:lang w:val="uk-UA"/>
        </w:rPr>
        <w:t xml:space="preserve">Обґрунтування правила вичерпання </w:t>
      </w:r>
      <w:r w:rsidR="00091694" w:rsidRPr="00222DB2">
        <w:rPr>
          <w:lang w:val="uk-UA"/>
        </w:rPr>
        <w:t>полягає у</w:t>
      </w:r>
      <w:r w:rsidR="00791109" w:rsidRPr="00222DB2">
        <w:rPr>
          <w:lang w:val="uk-UA"/>
        </w:rPr>
        <w:t xml:space="preserve"> наданн</w:t>
      </w:r>
      <w:r w:rsidR="00091694" w:rsidRPr="00222DB2">
        <w:rPr>
          <w:lang w:val="uk-UA"/>
        </w:rPr>
        <w:t>і</w:t>
      </w:r>
      <w:r w:rsidR="00791109" w:rsidRPr="00222DB2">
        <w:rPr>
          <w:lang w:val="uk-UA"/>
        </w:rPr>
        <w:t xml:space="preserve"> національним органам влади, насамперед судам, можливості виправити, наскільки це </w:t>
      </w:r>
      <w:r w:rsidR="00222DB2">
        <w:rPr>
          <w:lang w:val="uk-UA"/>
        </w:rPr>
        <w:t>реально</w:t>
      </w:r>
      <w:r w:rsidR="00791109" w:rsidRPr="00222DB2">
        <w:rPr>
          <w:lang w:val="uk-UA"/>
        </w:rPr>
        <w:t xml:space="preserve">, </w:t>
      </w:r>
      <w:r w:rsidR="00091694" w:rsidRPr="00222DB2">
        <w:rPr>
          <w:lang w:val="uk-UA"/>
        </w:rPr>
        <w:t>заявлені</w:t>
      </w:r>
      <w:r w:rsidR="00791109" w:rsidRPr="00222DB2">
        <w:rPr>
          <w:lang w:val="uk-UA"/>
        </w:rPr>
        <w:t xml:space="preserve"> порушення Конвенції </w:t>
      </w:r>
      <w:r w:rsidR="00791109" w:rsidRPr="00222DB2">
        <w:rPr>
          <w:i/>
          <w:iCs/>
          <w:lang w:val="uk-UA"/>
        </w:rPr>
        <w:t>(</w:t>
      </w:r>
      <w:proofErr w:type="spellStart"/>
      <w:r w:rsidR="00791109" w:rsidRPr="00222DB2">
        <w:rPr>
          <w:i/>
          <w:iCs/>
          <w:lang w:val="uk-UA"/>
        </w:rPr>
        <w:t>see</w:t>
      </w:r>
      <w:proofErr w:type="spellEnd"/>
      <w:r w:rsidR="00791109" w:rsidRPr="00222DB2">
        <w:rPr>
          <w:i/>
          <w:iCs/>
          <w:lang w:val="uk-UA"/>
        </w:rPr>
        <w:t xml:space="preserve"> the </w:t>
      </w:r>
      <w:proofErr w:type="spellStart"/>
      <w:r w:rsidR="00791109" w:rsidRPr="00222DB2">
        <w:rPr>
          <w:i/>
          <w:iCs/>
          <w:lang w:val="uk-UA"/>
        </w:rPr>
        <w:t>summary</w:t>
      </w:r>
      <w:proofErr w:type="spellEnd"/>
      <w:r w:rsidR="00791109" w:rsidRPr="00222DB2">
        <w:rPr>
          <w:i/>
          <w:iCs/>
          <w:lang w:val="uk-UA"/>
        </w:rPr>
        <w:t xml:space="preserve"> of the </w:t>
      </w:r>
      <w:proofErr w:type="spellStart"/>
      <w:r w:rsidR="00791109" w:rsidRPr="00222DB2">
        <w:rPr>
          <w:i/>
          <w:iCs/>
          <w:lang w:val="uk-UA"/>
        </w:rPr>
        <w:t>principles</w:t>
      </w:r>
      <w:proofErr w:type="spellEnd"/>
      <w:r w:rsidR="00791109" w:rsidRPr="00222DB2">
        <w:rPr>
          <w:i/>
          <w:iCs/>
          <w:lang w:val="uk-UA"/>
        </w:rPr>
        <w:t xml:space="preserve"> in «</w:t>
      </w:r>
      <w:proofErr w:type="spellStart"/>
      <w:r w:rsidR="00791109" w:rsidRPr="00222DB2">
        <w:rPr>
          <w:i/>
          <w:iCs/>
          <w:lang w:val="uk-UA"/>
        </w:rPr>
        <w:t>Gherghina</w:t>
      </w:r>
      <w:proofErr w:type="spellEnd"/>
      <w:r w:rsidR="00791109" w:rsidRPr="00222DB2">
        <w:rPr>
          <w:i/>
          <w:iCs/>
          <w:lang w:val="uk-UA"/>
        </w:rPr>
        <w:t xml:space="preserve"> v. Romania» (</w:t>
      </w:r>
      <w:proofErr w:type="spellStart"/>
      <w:r w:rsidR="00791109" w:rsidRPr="00222DB2">
        <w:rPr>
          <w:i/>
          <w:iCs/>
          <w:lang w:val="uk-UA"/>
        </w:rPr>
        <w:t>dec</w:t>
      </w:r>
      <w:proofErr w:type="spellEnd"/>
      <w:r w:rsidR="00791109" w:rsidRPr="00222DB2">
        <w:rPr>
          <w:i/>
          <w:iCs/>
          <w:lang w:val="uk-UA"/>
        </w:rPr>
        <w:t>.) [GC], № 42219/07, п.п. 84-89; «</w:t>
      </w:r>
      <w:proofErr w:type="spellStart"/>
      <w:r w:rsidR="00791109" w:rsidRPr="00222DB2">
        <w:rPr>
          <w:i/>
          <w:iCs/>
          <w:lang w:val="uk-UA"/>
        </w:rPr>
        <w:t>Mocanu</w:t>
      </w:r>
      <w:proofErr w:type="spellEnd"/>
      <w:r w:rsidR="00791109" w:rsidRPr="00222DB2">
        <w:rPr>
          <w:i/>
          <w:iCs/>
          <w:lang w:val="uk-UA"/>
        </w:rPr>
        <w:t xml:space="preserve"> and Others v. Romania» [GC], №№ 10865/09 and 2 others, п.п. 221 and </w:t>
      </w:r>
      <w:proofErr w:type="spellStart"/>
      <w:r w:rsidR="00791109" w:rsidRPr="00222DB2">
        <w:rPr>
          <w:i/>
          <w:iCs/>
          <w:lang w:val="uk-UA"/>
        </w:rPr>
        <w:t>seq</w:t>
      </w:r>
      <w:proofErr w:type="spellEnd"/>
      <w:r w:rsidR="00791109" w:rsidRPr="00222DB2">
        <w:rPr>
          <w:i/>
          <w:iCs/>
          <w:lang w:val="uk-UA"/>
        </w:rPr>
        <w:t>. (</w:t>
      </w:r>
      <w:proofErr w:type="spellStart"/>
      <w:r w:rsidR="00791109" w:rsidRPr="00222DB2">
        <w:rPr>
          <w:i/>
          <w:iCs/>
          <w:lang w:val="uk-UA"/>
        </w:rPr>
        <w:t>extracts</w:t>
      </w:r>
      <w:proofErr w:type="spellEnd"/>
      <w:r w:rsidR="00791109" w:rsidRPr="00222DB2">
        <w:rPr>
          <w:i/>
          <w:iCs/>
          <w:lang w:val="uk-UA"/>
        </w:rPr>
        <w:t>); «</w:t>
      </w:r>
      <w:proofErr w:type="spellStart"/>
      <w:r w:rsidR="00791109" w:rsidRPr="00222DB2">
        <w:rPr>
          <w:i/>
          <w:iCs/>
          <w:lang w:val="uk-UA"/>
        </w:rPr>
        <w:t>Vučković</w:t>
      </w:r>
      <w:proofErr w:type="spellEnd"/>
      <w:r w:rsidR="00791109" w:rsidRPr="00222DB2">
        <w:rPr>
          <w:i/>
          <w:iCs/>
          <w:lang w:val="uk-UA"/>
        </w:rPr>
        <w:t xml:space="preserve"> and Others v. </w:t>
      </w:r>
      <w:proofErr w:type="spellStart"/>
      <w:r w:rsidR="00791109" w:rsidRPr="00222DB2">
        <w:rPr>
          <w:i/>
          <w:iCs/>
          <w:lang w:val="uk-UA"/>
        </w:rPr>
        <w:t>Serbia</w:t>
      </w:r>
      <w:proofErr w:type="spellEnd"/>
      <w:r w:rsidR="00791109" w:rsidRPr="00222DB2">
        <w:rPr>
          <w:i/>
          <w:iCs/>
          <w:lang w:val="uk-UA"/>
        </w:rPr>
        <w:t>» (preliminary objection) [GC], № 17153/11 and 29 others, п.п. 69-77).</w:t>
      </w:r>
      <w:r w:rsidR="00791109" w:rsidRPr="00222DB2">
        <w:rPr>
          <w:lang w:val="uk-UA"/>
        </w:rPr>
        <w:t xml:space="preserve"> Це повинно функціонувати як стимул для Договірних Держав збільшити доступність та ефективність їх внутрішніх засобів правового захисту, включаючи провадження щодо відповідальності держави. Для цього Суду слід </w:t>
      </w:r>
      <w:r w:rsidR="009371BD" w:rsidRPr="00222DB2">
        <w:rPr>
          <w:lang w:val="uk-UA"/>
        </w:rPr>
        <w:t>нада</w:t>
      </w:r>
      <w:r w:rsidR="00222DB2">
        <w:rPr>
          <w:lang w:val="uk-UA"/>
        </w:rPr>
        <w:t>ва</w:t>
      </w:r>
      <w:r w:rsidR="009371BD" w:rsidRPr="00222DB2">
        <w:rPr>
          <w:lang w:val="uk-UA"/>
        </w:rPr>
        <w:t>ти оцінку</w:t>
      </w:r>
      <w:r w:rsidR="00791109" w:rsidRPr="00222DB2">
        <w:rPr>
          <w:lang w:val="uk-UA"/>
        </w:rPr>
        <w:t xml:space="preserve"> </w:t>
      </w:r>
      <w:r w:rsidR="009371BD" w:rsidRPr="00222DB2">
        <w:rPr>
          <w:lang w:val="uk-UA"/>
        </w:rPr>
        <w:t xml:space="preserve">питанню </w:t>
      </w:r>
      <w:r w:rsidR="00791109" w:rsidRPr="00222DB2">
        <w:rPr>
          <w:lang w:val="uk-UA"/>
        </w:rPr>
        <w:t>ефективн</w:t>
      </w:r>
      <w:r w:rsidR="009371BD" w:rsidRPr="00222DB2">
        <w:rPr>
          <w:lang w:val="uk-UA"/>
        </w:rPr>
        <w:t>ості</w:t>
      </w:r>
      <w:r w:rsidR="00791109" w:rsidRPr="00222DB2">
        <w:rPr>
          <w:lang w:val="uk-UA"/>
        </w:rPr>
        <w:t xml:space="preserve"> таких проваджень, а не беззастережно відхиляти їх</w:t>
      </w:r>
      <w:r w:rsidR="00222DB2">
        <w:rPr>
          <w:lang w:val="uk-UA"/>
        </w:rPr>
        <w:t xml:space="preserve"> як такі</w:t>
      </w:r>
      <w:r w:rsidR="00791109" w:rsidRPr="00222DB2">
        <w:rPr>
          <w:lang w:val="uk-UA"/>
        </w:rPr>
        <w:t xml:space="preserve">, </w:t>
      </w:r>
      <w:r w:rsidR="00222DB2">
        <w:rPr>
          <w:lang w:val="uk-UA"/>
        </w:rPr>
        <w:t xml:space="preserve">що </w:t>
      </w:r>
      <w:r w:rsidR="00791109" w:rsidRPr="00222DB2">
        <w:rPr>
          <w:lang w:val="uk-UA"/>
        </w:rPr>
        <w:t xml:space="preserve">не повинні використовуватися для </w:t>
      </w:r>
      <w:r w:rsidR="00091694" w:rsidRPr="00222DB2">
        <w:rPr>
          <w:lang w:val="uk-UA"/>
        </w:rPr>
        <w:t xml:space="preserve">цілей </w:t>
      </w:r>
      <w:r w:rsidR="00791109" w:rsidRPr="00222DB2">
        <w:rPr>
          <w:lang w:val="uk-UA"/>
        </w:rPr>
        <w:t>вичерпання.</w:t>
      </w:r>
    </w:p>
    <w:p w14:paraId="740A3845" w14:textId="77777777" w:rsidR="009371BD" w:rsidRPr="00222DB2" w:rsidRDefault="009371BD" w:rsidP="00791109">
      <w:pPr>
        <w:pStyle w:val="JuPara"/>
        <w:ind w:firstLine="0"/>
        <w:rPr>
          <w:lang w:val="uk-UA"/>
        </w:rPr>
      </w:pPr>
    </w:p>
    <w:p w14:paraId="0723BAD3" w14:textId="429C2AEC" w:rsidR="00C533A1" w:rsidRDefault="00091694" w:rsidP="00791109">
      <w:pPr>
        <w:pStyle w:val="JuPara"/>
        <w:ind w:firstLine="0"/>
        <w:rPr>
          <w:lang w:val="uk-UA"/>
        </w:rPr>
      </w:pPr>
      <w:r w:rsidRPr="00222DB2">
        <w:rPr>
          <w:lang w:val="uk-UA"/>
        </w:rPr>
        <w:t xml:space="preserve">У цій справі заявниця стверджувала, що кримінальне провадження проти її батька містило значні недоліки. Тому питання, яке має бути визначене для цілей п. 1 ст. 35 Конвенції, полягало в тому, які засоби правового захисту були доступні заявниці, щоб дати їй </w:t>
      </w:r>
      <w:r w:rsidR="009371BD" w:rsidRPr="00222DB2">
        <w:rPr>
          <w:lang w:val="uk-UA"/>
        </w:rPr>
        <w:t>можливість</w:t>
      </w:r>
      <w:r w:rsidRPr="00222DB2">
        <w:rPr>
          <w:lang w:val="uk-UA"/>
        </w:rPr>
        <w:t xml:space="preserve"> оскаржити ці недоліки. Уряд стверджував, що заявниця не вичерпала всіх наявних національних засобів правового захисту, оскільки вона мала право подати до держави позов про відшкодування збитків відповідно до </w:t>
      </w:r>
      <w:r w:rsidRPr="004353E6">
        <w:rPr>
          <w:rFonts w:ascii="Cambria" w:hAnsi="Cambria"/>
          <w:i/>
          <w:iCs/>
          <w:sz w:val="22"/>
          <w:szCs w:val="22"/>
          <w:lang w:val="uk-UA"/>
        </w:rPr>
        <w:t xml:space="preserve">Закону про відшкодування шкоди, </w:t>
      </w:r>
      <w:r w:rsidR="004353E6">
        <w:rPr>
          <w:rFonts w:ascii="Cambria" w:hAnsi="Cambria"/>
          <w:i/>
          <w:iCs/>
          <w:sz w:val="22"/>
          <w:szCs w:val="22"/>
          <w:lang w:val="uk-UA"/>
        </w:rPr>
        <w:t>завданої</w:t>
      </w:r>
      <w:r w:rsidRPr="004353E6">
        <w:rPr>
          <w:rFonts w:ascii="Cambria" w:hAnsi="Cambria"/>
          <w:i/>
          <w:iCs/>
          <w:sz w:val="22"/>
          <w:szCs w:val="22"/>
          <w:lang w:val="uk-UA"/>
        </w:rPr>
        <w:t xml:space="preserve"> у кримінальному провадженні</w:t>
      </w:r>
      <w:r w:rsidRPr="00222DB2">
        <w:rPr>
          <w:lang w:val="uk-UA"/>
        </w:rPr>
        <w:t xml:space="preserve">. Більшість відхиляє цю вимогу, стверджуючи, що заявниця повністю використовувала доступні їй кримінально-правові засоби </w:t>
      </w:r>
      <w:r w:rsidRPr="00222DB2">
        <w:rPr>
          <w:i/>
          <w:iCs/>
          <w:lang w:val="uk-UA"/>
        </w:rPr>
        <w:t>(п. 65).</w:t>
      </w:r>
      <w:r w:rsidRPr="00222DB2">
        <w:rPr>
          <w:lang w:val="uk-UA"/>
        </w:rPr>
        <w:t xml:space="preserve"> </w:t>
      </w:r>
    </w:p>
    <w:p w14:paraId="7C27846F" w14:textId="13109B53" w:rsidR="004353E6" w:rsidRDefault="004353E6" w:rsidP="00791109">
      <w:pPr>
        <w:pStyle w:val="JuPara"/>
        <w:ind w:firstLine="0"/>
        <w:rPr>
          <w:lang w:val="uk-UA"/>
        </w:rPr>
      </w:pPr>
    </w:p>
    <w:p w14:paraId="7F238282" w14:textId="1052C0BF" w:rsidR="004353E6" w:rsidRPr="004353E6" w:rsidRDefault="004353E6" w:rsidP="00791109">
      <w:pPr>
        <w:pStyle w:val="JuPara"/>
        <w:ind w:firstLine="0"/>
        <w:rPr>
          <w:color w:val="0432FF"/>
          <w:lang w:val="uk-UA"/>
        </w:rPr>
      </w:pPr>
    </w:p>
    <w:p w14:paraId="45576B79" w14:textId="077F6E82" w:rsidR="004353E6" w:rsidRPr="004353E6" w:rsidRDefault="004353E6" w:rsidP="004353E6">
      <w:pPr>
        <w:pStyle w:val="JuPara"/>
        <w:ind w:left="2160" w:firstLine="0"/>
        <w:rPr>
          <w:color w:val="0432FF"/>
          <w:sz w:val="20"/>
          <w:szCs w:val="20"/>
          <w:lang w:val="uk-UA"/>
        </w:rPr>
      </w:pPr>
      <w:r w:rsidRPr="004353E6">
        <w:rPr>
          <w:color w:val="0432FF"/>
          <w:sz w:val="20"/>
          <w:szCs w:val="20"/>
          <w:lang w:val="uk-UA"/>
        </w:rPr>
        <w:t xml:space="preserve">Переходячи до цієї справи, Суд зазначає, що кримінальне провадження щодо стверджуваного сексуального насильства заявника завершилося </w:t>
      </w:r>
      <w:r w:rsidRPr="004353E6">
        <w:rPr>
          <w:color w:val="0432FF"/>
          <w:sz w:val="20"/>
          <w:szCs w:val="20"/>
          <w:lang w:val="uk-UA"/>
        </w:rPr>
        <w:lastRenderedPageBreak/>
        <w:t xml:space="preserve">остаточним рішенням Верховного Суду. Таким чином, заявниця в повній мірі </w:t>
      </w:r>
      <w:r w:rsidRPr="0003030B">
        <w:rPr>
          <w:b/>
          <w:bCs/>
          <w:color w:val="0432FF"/>
          <w:sz w:val="20"/>
          <w:szCs w:val="20"/>
          <w:lang w:val="uk-UA"/>
        </w:rPr>
        <w:t>використала</w:t>
      </w:r>
      <w:r w:rsidRPr="004353E6">
        <w:rPr>
          <w:color w:val="0432FF"/>
          <w:sz w:val="20"/>
          <w:szCs w:val="20"/>
          <w:lang w:val="uk-UA"/>
        </w:rPr>
        <w:t xml:space="preserve"> доступні їй кримінально-правові засоби, перш ніж звернутися до ЄСПЛ (п. 65).</w:t>
      </w:r>
    </w:p>
    <w:p w14:paraId="45C2D926" w14:textId="77777777" w:rsidR="004353E6" w:rsidRPr="004353E6" w:rsidRDefault="004353E6" w:rsidP="004353E6">
      <w:pPr>
        <w:pStyle w:val="JuPara"/>
        <w:ind w:left="2160" w:firstLine="0"/>
        <w:rPr>
          <w:color w:val="0432FF"/>
          <w:sz w:val="20"/>
          <w:szCs w:val="20"/>
          <w:lang w:val="uk-UA"/>
        </w:rPr>
      </w:pPr>
    </w:p>
    <w:p w14:paraId="5F1158A0" w14:textId="77777777" w:rsidR="004353E6" w:rsidRPr="004353E6" w:rsidRDefault="004353E6" w:rsidP="004353E6">
      <w:pPr>
        <w:pStyle w:val="JuPara"/>
        <w:ind w:left="2160" w:firstLine="0"/>
        <w:rPr>
          <w:color w:val="0432FF"/>
          <w:sz w:val="20"/>
          <w:szCs w:val="20"/>
          <w:lang w:val="uk-UA"/>
        </w:rPr>
      </w:pPr>
      <w:r w:rsidRPr="004353E6">
        <w:rPr>
          <w:color w:val="0432FF"/>
          <w:sz w:val="20"/>
          <w:szCs w:val="20"/>
          <w:lang w:val="uk-UA"/>
        </w:rPr>
        <w:t xml:space="preserve">ЄСПЛ зазначає, що </w:t>
      </w:r>
      <w:r w:rsidRPr="0003030B">
        <w:rPr>
          <w:b/>
          <w:bCs/>
          <w:color w:val="0432FF"/>
          <w:sz w:val="20"/>
          <w:szCs w:val="20"/>
          <w:lang w:val="uk-UA"/>
        </w:rPr>
        <w:t>цивільний засіб захисту</w:t>
      </w:r>
      <w:r w:rsidRPr="004353E6">
        <w:rPr>
          <w:color w:val="0432FF"/>
          <w:sz w:val="20"/>
          <w:szCs w:val="20"/>
          <w:lang w:val="uk-UA"/>
        </w:rPr>
        <w:t xml:space="preserve">, на який посилається Уряд, міг би призвести лише до </w:t>
      </w:r>
      <w:r w:rsidRPr="0003030B">
        <w:rPr>
          <w:b/>
          <w:bCs/>
          <w:color w:val="0432FF"/>
          <w:sz w:val="20"/>
          <w:szCs w:val="20"/>
          <w:lang w:val="uk-UA"/>
        </w:rPr>
        <w:t>виплати збитків державою</w:t>
      </w:r>
      <w:r w:rsidRPr="004353E6">
        <w:rPr>
          <w:color w:val="0432FF"/>
          <w:sz w:val="20"/>
          <w:szCs w:val="20"/>
          <w:lang w:val="uk-UA"/>
        </w:rPr>
        <w:t>, а не до ідентифікації та покарання, якщо це було потрібно, злочинця, чого можна було досягти лише в рамках кримінального провадження (п. 65).</w:t>
      </w:r>
    </w:p>
    <w:p w14:paraId="3781D974" w14:textId="77777777" w:rsidR="004353E6" w:rsidRPr="004353E6" w:rsidRDefault="004353E6" w:rsidP="004353E6">
      <w:pPr>
        <w:pStyle w:val="JuPara"/>
        <w:ind w:left="2160" w:firstLine="0"/>
        <w:rPr>
          <w:color w:val="0432FF"/>
          <w:sz w:val="20"/>
          <w:szCs w:val="20"/>
          <w:lang w:val="uk-UA"/>
        </w:rPr>
      </w:pPr>
    </w:p>
    <w:p w14:paraId="554C93EC" w14:textId="4E844BDC" w:rsidR="004353E6" w:rsidRPr="004353E6" w:rsidRDefault="004353E6" w:rsidP="004353E6">
      <w:pPr>
        <w:pStyle w:val="JuPara"/>
        <w:ind w:left="2160" w:firstLine="0"/>
        <w:rPr>
          <w:color w:val="0432FF"/>
          <w:lang w:val="uk-UA"/>
        </w:rPr>
      </w:pPr>
      <w:r w:rsidRPr="004353E6">
        <w:rPr>
          <w:color w:val="0432FF"/>
          <w:sz w:val="20"/>
          <w:szCs w:val="20"/>
          <w:lang w:val="uk-UA"/>
        </w:rPr>
        <w:t xml:space="preserve">Згідно з усталеною прецедентною практикою Суду, компенсаційний засіб </w:t>
      </w:r>
      <w:r w:rsidRPr="001729D4">
        <w:rPr>
          <w:b/>
          <w:bCs/>
          <w:color w:val="0432FF"/>
          <w:sz w:val="20"/>
          <w:szCs w:val="20"/>
          <w:lang w:val="uk-UA"/>
        </w:rPr>
        <w:t>не може</w:t>
      </w:r>
      <w:r w:rsidRPr="001729D4">
        <w:rPr>
          <w:color w:val="0432FF"/>
          <w:sz w:val="20"/>
          <w:szCs w:val="20"/>
          <w:lang w:val="uk-UA"/>
        </w:rPr>
        <w:t xml:space="preserve"> </w:t>
      </w:r>
      <w:r w:rsidRPr="004353E6">
        <w:rPr>
          <w:color w:val="0432FF"/>
          <w:sz w:val="20"/>
          <w:szCs w:val="20"/>
          <w:lang w:val="uk-UA"/>
        </w:rPr>
        <w:t xml:space="preserve">вважатися достатнім для виконання зобов'язань держави відповідно до ст. 3 і ст. 8 Конвенції щодо забезпечення ефективного захисту від серйозних нападів на фізичну недоторканність особи у таких випадках, як приклад заявниці  </w:t>
      </w:r>
      <w:r w:rsidRPr="004353E6">
        <w:rPr>
          <w:i/>
          <w:iCs/>
          <w:color w:val="0432FF"/>
          <w:sz w:val="20"/>
          <w:szCs w:val="20"/>
          <w:lang w:val="uk-UA"/>
        </w:rPr>
        <w:t>(</w:t>
      </w:r>
      <w:proofErr w:type="spellStart"/>
      <w:r w:rsidRPr="004353E6">
        <w:rPr>
          <w:i/>
          <w:iCs/>
          <w:color w:val="0432FF"/>
          <w:sz w:val="20"/>
          <w:szCs w:val="20"/>
          <w:lang w:val="uk-UA"/>
        </w:rPr>
        <w:t>see</w:t>
      </w:r>
      <w:proofErr w:type="spellEnd"/>
      <w:r w:rsidRPr="004353E6">
        <w:rPr>
          <w:i/>
          <w:iCs/>
          <w:color w:val="0432FF"/>
          <w:sz w:val="20"/>
          <w:szCs w:val="20"/>
          <w:lang w:val="uk-UA"/>
        </w:rPr>
        <w:t xml:space="preserve">, for </w:t>
      </w:r>
      <w:proofErr w:type="spellStart"/>
      <w:r w:rsidRPr="004353E6">
        <w:rPr>
          <w:i/>
          <w:iCs/>
          <w:color w:val="0432FF"/>
          <w:sz w:val="20"/>
          <w:szCs w:val="20"/>
          <w:lang w:val="uk-UA"/>
        </w:rPr>
        <w:t>example</w:t>
      </w:r>
      <w:proofErr w:type="spellEnd"/>
      <w:r w:rsidRPr="004353E6">
        <w:rPr>
          <w:i/>
          <w:iCs/>
          <w:color w:val="0432FF"/>
          <w:sz w:val="20"/>
          <w:szCs w:val="20"/>
          <w:lang w:val="uk-UA"/>
        </w:rPr>
        <w:t>, «</w:t>
      </w:r>
      <w:proofErr w:type="spellStart"/>
      <w:r w:rsidRPr="004353E6">
        <w:rPr>
          <w:i/>
          <w:iCs/>
          <w:color w:val="0432FF"/>
          <w:sz w:val="20"/>
          <w:szCs w:val="20"/>
          <w:lang w:val="uk-UA"/>
        </w:rPr>
        <w:t>Remetin</w:t>
      </w:r>
      <w:proofErr w:type="spellEnd"/>
      <w:r w:rsidRPr="004353E6">
        <w:rPr>
          <w:i/>
          <w:iCs/>
          <w:color w:val="0432FF"/>
          <w:sz w:val="20"/>
          <w:szCs w:val="20"/>
          <w:lang w:val="uk-UA"/>
        </w:rPr>
        <w:t xml:space="preserve"> v. Croatia», № 29525/10, п. 76; «</w:t>
      </w:r>
      <w:proofErr w:type="spellStart"/>
      <w:r w:rsidRPr="004353E6">
        <w:rPr>
          <w:i/>
          <w:iCs/>
          <w:color w:val="0432FF"/>
          <w:sz w:val="20"/>
          <w:szCs w:val="20"/>
          <w:lang w:val="uk-UA"/>
        </w:rPr>
        <w:t>Pulfer</w:t>
      </w:r>
      <w:proofErr w:type="spellEnd"/>
      <w:r w:rsidRPr="004353E6">
        <w:rPr>
          <w:i/>
          <w:iCs/>
          <w:color w:val="0432FF"/>
          <w:sz w:val="20"/>
          <w:szCs w:val="20"/>
          <w:lang w:val="uk-UA"/>
        </w:rPr>
        <w:t xml:space="preserve"> v. </w:t>
      </w:r>
      <w:proofErr w:type="spellStart"/>
      <w:r w:rsidRPr="004353E6">
        <w:rPr>
          <w:i/>
          <w:iCs/>
          <w:color w:val="0432FF"/>
          <w:sz w:val="20"/>
          <w:szCs w:val="20"/>
          <w:lang w:val="uk-UA"/>
        </w:rPr>
        <w:t>Albania</w:t>
      </w:r>
      <w:proofErr w:type="spellEnd"/>
      <w:r w:rsidRPr="004353E6">
        <w:rPr>
          <w:i/>
          <w:iCs/>
          <w:color w:val="0432FF"/>
          <w:sz w:val="20"/>
          <w:szCs w:val="20"/>
          <w:lang w:val="uk-UA"/>
        </w:rPr>
        <w:t xml:space="preserve">», № 31959/13, </w:t>
      </w:r>
      <w:r w:rsidRPr="004353E6">
        <w:rPr>
          <w:rFonts w:cstheme="minorHAnsi"/>
          <w:i/>
          <w:iCs/>
          <w:color w:val="0432FF"/>
          <w:sz w:val="20"/>
          <w:szCs w:val="20"/>
          <w:lang w:val="uk-UA"/>
        </w:rPr>
        <w:t>п.</w:t>
      </w:r>
      <w:r w:rsidRPr="004353E6">
        <w:rPr>
          <w:i/>
          <w:iCs/>
          <w:color w:val="0432FF"/>
          <w:sz w:val="20"/>
          <w:szCs w:val="20"/>
          <w:lang w:val="uk-UA"/>
        </w:rPr>
        <w:t xml:space="preserve"> 71)</w:t>
      </w:r>
      <w:r>
        <w:rPr>
          <w:i/>
          <w:iCs/>
          <w:color w:val="0432FF"/>
          <w:sz w:val="20"/>
          <w:szCs w:val="20"/>
          <w:lang w:val="uk-UA"/>
        </w:rPr>
        <w:t xml:space="preserve"> </w:t>
      </w:r>
      <w:r w:rsidRPr="004353E6">
        <w:rPr>
          <w:color w:val="0432FF"/>
          <w:sz w:val="20"/>
          <w:szCs w:val="20"/>
          <w:lang w:val="uk-UA"/>
        </w:rPr>
        <w:t>(п. 65).</w:t>
      </w:r>
    </w:p>
    <w:p w14:paraId="531837D5" w14:textId="77777777" w:rsidR="004353E6" w:rsidRDefault="004353E6" w:rsidP="004353E6">
      <w:pPr>
        <w:pStyle w:val="JuPara"/>
        <w:ind w:left="2160" w:firstLine="0"/>
        <w:rPr>
          <w:i/>
          <w:iCs/>
          <w:color w:val="0432FF"/>
          <w:sz w:val="20"/>
          <w:szCs w:val="20"/>
          <w:lang w:val="uk-UA"/>
        </w:rPr>
      </w:pPr>
    </w:p>
    <w:p w14:paraId="0B7FFD21" w14:textId="75D3A2C4" w:rsidR="004353E6" w:rsidRPr="004353E6" w:rsidRDefault="004353E6" w:rsidP="004353E6">
      <w:pPr>
        <w:pStyle w:val="JuPara"/>
        <w:ind w:left="2160" w:firstLine="0"/>
        <w:rPr>
          <w:color w:val="0432FF"/>
          <w:lang w:val="uk-UA"/>
        </w:rPr>
      </w:pPr>
      <w:r w:rsidRPr="004353E6">
        <w:rPr>
          <w:color w:val="0432FF"/>
          <w:sz w:val="20"/>
          <w:szCs w:val="20"/>
          <w:lang w:val="uk-UA"/>
        </w:rPr>
        <w:t>Таким чином, ЄСПЛ вважає, що після завершення кримінального провадження, яке стало належним засобом відшкодування скарг заявниці про сексуальне насильство, від неї не можна було вимагати надалі вдаватися до компенсаційного національного засобу, адже це у будь-якому випадку не було спроможним забезпечити пряме та належне відшкодування за її скаргою (п. 65).</w:t>
      </w:r>
    </w:p>
    <w:p w14:paraId="527C97B7" w14:textId="77777777" w:rsidR="00C533A1" w:rsidRDefault="00C533A1" w:rsidP="00791109">
      <w:pPr>
        <w:pStyle w:val="JuPara"/>
        <w:ind w:firstLine="0"/>
        <w:rPr>
          <w:lang w:val="uk-UA"/>
        </w:rPr>
      </w:pPr>
    </w:p>
    <w:p w14:paraId="55080CFA" w14:textId="77777777" w:rsidR="00C533A1" w:rsidRDefault="00091694" w:rsidP="00791109">
      <w:pPr>
        <w:pStyle w:val="JuPara"/>
        <w:ind w:firstLine="0"/>
        <w:rPr>
          <w:lang w:val="uk-UA"/>
        </w:rPr>
      </w:pPr>
      <w:r w:rsidRPr="00222DB2">
        <w:rPr>
          <w:lang w:val="uk-UA"/>
        </w:rPr>
        <w:t xml:space="preserve">На жаль, я не можу погодитися з цим міркуванням, оскільки воно </w:t>
      </w:r>
      <w:r w:rsidR="00C533A1">
        <w:rPr>
          <w:lang w:val="uk-UA"/>
        </w:rPr>
        <w:t>не бере до уваги</w:t>
      </w:r>
      <w:r w:rsidRPr="00222DB2">
        <w:rPr>
          <w:lang w:val="uk-UA"/>
        </w:rPr>
        <w:t xml:space="preserve"> той факт, що </w:t>
      </w:r>
      <w:r w:rsidRPr="002770C7">
        <w:rPr>
          <w:i/>
          <w:iCs/>
          <w:lang w:val="uk-UA"/>
        </w:rPr>
        <w:t>кримінальне провадження</w:t>
      </w:r>
      <w:r w:rsidRPr="00222DB2">
        <w:rPr>
          <w:lang w:val="uk-UA"/>
        </w:rPr>
        <w:t xml:space="preserve"> </w:t>
      </w:r>
      <w:r w:rsidRPr="002770C7">
        <w:rPr>
          <w:lang w:val="uk-UA"/>
        </w:rPr>
        <w:t>не</w:t>
      </w:r>
      <w:r w:rsidRPr="00222DB2">
        <w:rPr>
          <w:lang w:val="uk-UA"/>
        </w:rPr>
        <w:t xml:space="preserve"> є засобом правового захисту від порушення позитивних зобов'язань держави-відповідача за ст. 3 і ст. 8 Конвенції. </w:t>
      </w:r>
    </w:p>
    <w:p w14:paraId="1BE247EC" w14:textId="77777777" w:rsidR="00C533A1" w:rsidRDefault="00C533A1" w:rsidP="00791109">
      <w:pPr>
        <w:pStyle w:val="JuPara"/>
        <w:ind w:firstLine="0"/>
        <w:rPr>
          <w:lang w:val="uk-UA"/>
        </w:rPr>
      </w:pPr>
    </w:p>
    <w:p w14:paraId="0E110828" w14:textId="14DEEBE0" w:rsidR="00C533A1" w:rsidRDefault="00091694" w:rsidP="00791109">
      <w:pPr>
        <w:pStyle w:val="JuPara"/>
        <w:ind w:firstLine="0"/>
        <w:rPr>
          <w:lang w:val="uk-UA"/>
        </w:rPr>
      </w:pPr>
      <w:r w:rsidRPr="00222DB2">
        <w:rPr>
          <w:lang w:val="uk-UA"/>
        </w:rPr>
        <w:t>Заявни</w:t>
      </w:r>
      <w:r w:rsidR="00F32C12" w:rsidRPr="00222DB2">
        <w:rPr>
          <w:lang w:val="uk-UA"/>
        </w:rPr>
        <w:t>ця</w:t>
      </w:r>
      <w:r w:rsidRPr="00222DB2">
        <w:rPr>
          <w:lang w:val="uk-UA"/>
        </w:rPr>
        <w:t xml:space="preserve"> заявля</w:t>
      </w:r>
      <w:r w:rsidR="00F32C12" w:rsidRPr="00222DB2">
        <w:rPr>
          <w:lang w:val="uk-UA"/>
        </w:rPr>
        <w:t>ла</w:t>
      </w:r>
      <w:r w:rsidRPr="00222DB2">
        <w:rPr>
          <w:lang w:val="uk-UA"/>
        </w:rPr>
        <w:t xml:space="preserve"> про зловживання, вчинені </w:t>
      </w:r>
      <w:r w:rsidRPr="0003030B">
        <w:rPr>
          <w:rFonts w:ascii="Cambria" w:hAnsi="Cambria"/>
          <w:i/>
          <w:iCs/>
          <w:sz w:val="22"/>
          <w:szCs w:val="22"/>
          <w:lang w:val="uk-UA"/>
        </w:rPr>
        <w:t>приватною особою</w:t>
      </w:r>
      <w:r w:rsidRPr="00222DB2">
        <w:rPr>
          <w:lang w:val="uk-UA"/>
        </w:rPr>
        <w:t xml:space="preserve">, а не </w:t>
      </w:r>
      <w:r w:rsidR="00F32C12" w:rsidRPr="00222DB2">
        <w:rPr>
          <w:lang w:val="uk-UA"/>
        </w:rPr>
        <w:t>агентом</w:t>
      </w:r>
      <w:r w:rsidRPr="00222DB2">
        <w:rPr>
          <w:lang w:val="uk-UA"/>
        </w:rPr>
        <w:t xml:space="preserve"> держави. Відповідальність держави </w:t>
      </w:r>
      <w:r w:rsidR="00C533A1">
        <w:rPr>
          <w:lang w:val="uk-UA"/>
        </w:rPr>
        <w:t>настала</w:t>
      </w:r>
      <w:r w:rsidRPr="00222DB2">
        <w:rPr>
          <w:lang w:val="uk-UA"/>
        </w:rPr>
        <w:t xml:space="preserve"> лише тоді, коли кримінальне провадження проти її батька стало </w:t>
      </w:r>
      <w:r w:rsidR="00F32C12" w:rsidRPr="00222DB2">
        <w:rPr>
          <w:lang w:val="uk-UA"/>
        </w:rPr>
        <w:t>не</w:t>
      </w:r>
      <w:r w:rsidRPr="00222DB2">
        <w:rPr>
          <w:lang w:val="uk-UA"/>
        </w:rPr>
        <w:t>ефективним. Хоча кримінальне провадження було належним каналом для</w:t>
      </w:r>
      <w:r w:rsidR="004353E6">
        <w:rPr>
          <w:lang w:val="uk-UA"/>
        </w:rPr>
        <w:t xml:space="preserve"> подання</w:t>
      </w:r>
      <w:r w:rsidRPr="00222DB2">
        <w:rPr>
          <w:lang w:val="uk-UA"/>
        </w:rPr>
        <w:t xml:space="preserve"> </w:t>
      </w:r>
      <w:r w:rsidR="00F32C12" w:rsidRPr="00222DB2">
        <w:rPr>
          <w:lang w:val="uk-UA"/>
        </w:rPr>
        <w:t>звинувачень</w:t>
      </w:r>
      <w:r w:rsidRPr="00222DB2">
        <w:rPr>
          <w:lang w:val="uk-UA"/>
        </w:rPr>
        <w:t xml:space="preserve"> заявниці проти її батька про сексуальне насильство, вон</w:t>
      </w:r>
      <w:r w:rsidR="00C533A1">
        <w:rPr>
          <w:lang w:val="uk-UA"/>
        </w:rPr>
        <w:t>о</w:t>
      </w:r>
      <w:r w:rsidRPr="00222DB2">
        <w:rPr>
          <w:lang w:val="uk-UA"/>
        </w:rPr>
        <w:t xml:space="preserve"> </w:t>
      </w:r>
      <w:r w:rsidRPr="008F7A60">
        <w:rPr>
          <w:rFonts w:ascii="Cambria" w:hAnsi="Cambria"/>
          <w:i/>
          <w:iCs/>
          <w:sz w:val="22"/>
          <w:szCs w:val="22"/>
          <w:lang w:val="uk-UA"/>
        </w:rPr>
        <w:t>не бул</w:t>
      </w:r>
      <w:r w:rsidR="00C533A1" w:rsidRPr="008F7A60">
        <w:rPr>
          <w:rFonts w:ascii="Cambria" w:hAnsi="Cambria"/>
          <w:i/>
          <w:iCs/>
          <w:sz w:val="22"/>
          <w:szCs w:val="22"/>
          <w:lang w:val="uk-UA"/>
        </w:rPr>
        <w:t>о</w:t>
      </w:r>
      <w:r w:rsidRPr="008F7A60">
        <w:rPr>
          <w:rFonts w:ascii="Cambria" w:hAnsi="Cambria"/>
          <w:i/>
          <w:iCs/>
          <w:sz w:val="22"/>
          <w:szCs w:val="22"/>
          <w:lang w:val="uk-UA"/>
        </w:rPr>
        <w:t xml:space="preserve"> </w:t>
      </w:r>
      <w:r w:rsidR="008F7A60" w:rsidRPr="008F7A60">
        <w:rPr>
          <w:rFonts w:ascii="Cambria" w:hAnsi="Cambria"/>
          <w:i/>
          <w:iCs/>
          <w:sz w:val="22"/>
          <w:szCs w:val="22"/>
          <w:lang w:val="uk-UA"/>
        </w:rPr>
        <w:t>адекватним</w:t>
      </w:r>
      <w:r w:rsidRPr="008F7A60">
        <w:rPr>
          <w:rFonts w:ascii="Cambria" w:hAnsi="Cambria"/>
          <w:i/>
          <w:iCs/>
          <w:sz w:val="22"/>
          <w:szCs w:val="22"/>
          <w:lang w:val="uk-UA"/>
        </w:rPr>
        <w:t xml:space="preserve"> засобом відшкодування</w:t>
      </w:r>
      <w:r w:rsidRPr="008F7A60">
        <w:rPr>
          <w:sz w:val="22"/>
          <w:szCs w:val="22"/>
          <w:lang w:val="uk-UA"/>
        </w:rPr>
        <w:t xml:space="preserve"> </w:t>
      </w:r>
      <w:r w:rsidR="002770C7">
        <w:rPr>
          <w:lang w:val="uk-UA"/>
        </w:rPr>
        <w:t xml:space="preserve">за </w:t>
      </w:r>
      <w:r w:rsidRPr="00222DB2">
        <w:rPr>
          <w:lang w:val="uk-UA"/>
        </w:rPr>
        <w:t>наступни</w:t>
      </w:r>
      <w:r w:rsidR="002770C7">
        <w:rPr>
          <w:lang w:val="uk-UA"/>
        </w:rPr>
        <w:t>ми</w:t>
      </w:r>
      <w:r w:rsidRPr="00222DB2">
        <w:rPr>
          <w:lang w:val="uk-UA"/>
        </w:rPr>
        <w:t xml:space="preserve"> скарг</w:t>
      </w:r>
      <w:r w:rsidR="002770C7">
        <w:rPr>
          <w:lang w:val="uk-UA"/>
        </w:rPr>
        <w:t>ами</w:t>
      </w:r>
      <w:r w:rsidRPr="00222DB2">
        <w:rPr>
          <w:lang w:val="uk-UA"/>
        </w:rPr>
        <w:t xml:space="preserve"> за Конвенцією, які заявник подав до Суду, а саме </w:t>
      </w:r>
      <w:r w:rsidR="00F32C12" w:rsidRPr="00222DB2">
        <w:rPr>
          <w:lang w:val="uk-UA"/>
        </w:rPr>
        <w:t xml:space="preserve">щодо </w:t>
      </w:r>
      <w:r w:rsidRPr="00222DB2">
        <w:rPr>
          <w:lang w:val="uk-UA"/>
        </w:rPr>
        <w:t>порушення позитивних зобов’язань держави-відповідача під час кримінальн</w:t>
      </w:r>
      <w:r w:rsidR="004353E6">
        <w:rPr>
          <w:lang w:val="uk-UA"/>
        </w:rPr>
        <w:t>ого</w:t>
      </w:r>
      <w:r w:rsidRPr="00222DB2">
        <w:rPr>
          <w:lang w:val="uk-UA"/>
        </w:rPr>
        <w:t xml:space="preserve"> провадження. </w:t>
      </w:r>
    </w:p>
    <w:p w14:paraId="50680F6B" w14:textId="77777777" w:rsidR="00C533A1" w:rsidRDefault="00C533A1" w:rsidP="00791109">
      <w:pPr>
        <w:pStyle w:val="JuPara"/>
        <w:ind w:firstLine="0"/>
        <w:rPr>
          <w:lang w:val="uk-UA"/>
        </w:rPr>
      </w:pPr>
    </w:p>
    <w:p w14:paraId="57F94F06" w14:textId="3E72AD1D" w:rsidR="009371BD" w:rsidRPr="00222DB2" w:rsidRDefault="00091694" w:rsidP="00791109">
      <w:pPr>
        <w:pStyle w:val="JuPara"/>
        <w:ind w:firstLine="0"/>
        <w:rPr>
          <w:lang w:val="uk-UA"/>
        </w:rPr>
      </w:pPr>
      <w:r w:rsidRPr="00222DB2">
        <w:rPr>
          <w:lang w:val="uk-UA"/>
        </w:rPr>
        <w:t xml:space="preserve">Лише </w:t>
      </w:r>
      <w:r w:rsidR="00F32C12" w:rsidRPr="00222DB2">
        <w:rPr>
          <w:lang w:val="uk-UA"/>
        </w:rPr>
        <w:t>з того моменту</w:t>
      </w:r>
      <w:r w:rsidRPr="00222DB2">
        <w:rPr>
          <w:lang w:val="uk-UA"/>
        </w:rPr>
        <w:t xml:space="preserve">, коли Верховний Суд виправдав обвинуваченого внаслідок попереднього порушення процесуальних </w:t>
      </w:r>
      <w:r w:rsidR="00F32C12" w:rsidRPr="00222DB2">
        <w:rPr>
          <w:lang w:val="uk-UA"/>
        </w:rPr>
        <w:t>норм</w:t>
      </w:r>
      <w:r w:rsidRPr="00222DB2">
        <w:rPr>
          <w:lang w:val="uk-UA"/>
        </w:rPr>
        <w:t xml:space="preserve"> у процесі збору доказів, </w:t>
      </w:r>
      <w:r w:rsidR="00F32C12" w:rsidRPr="00222DB2">
        <w:rPr>
          <w:lang w:val="uk-UA"/>
        </w:rPr>
        <w:t xml:space="preserve">можна стверджувати про неефективну </w:t>
      </w:r>
      <w:r w:rsidRPr="00222DB2">
        <w:rPr>
          <w:lang w:val="uk-UA"/>
        </w:rPr>
        <w:t>процесуальн</w:t>
      </w:r>
      <w:r w:rsidR="00F32C12" w:rsidRPr="00222DB2">
        <w:rPr>
          <w:lang w:val="uk-UA"/>
        </w:rPr>
        <w:t>у</w:t>
      </w:r>
      <w:r w:rsidRPr="00222DB2">
        <w:rPr>
          <w:lang w:val="uk-UA"/>
        </w:rPr>
        <w:t xml:space="preserve"> реакці</w:t>
      </w:r>
      <w:r w:rsidR="00F32C12" w:rsidRPr="00222DB2">
        <w:rPr>
          <w:lang w:val="uk-UA"/>
        </w:rPr>
        <w:t>ю</w:t>
      </w:r>
      <w:r w:rsidRPr="00222DB2">
        <w:rPr>
          <w:lang w:val="uk-UA"/>
        </w:rPr>
        <w:t xml:space="preserve"> національної влади на її заяву про зґвалтування та сексуальне насильство з боку її батька </w:t>
      </w:r>
      <w:r w:rsidRPr="00222DB2">
        <w:rPr>
          <w:i/>
          <w:iCs/>
          <w:lang w:val="uk-UA"/>
        </w:rPr>
        <w:t>(п. 101).</w:t>
      </w:r>
      <w:r w:rsidRPr="00222DB2">
        <w:rPr>
          <w:lang w:val="uk-UA"/>
        </w:rPr>
        <w:t xml:space="preserve"> Лише тоді заявниця могла звернутися до наявних національних засобів правового захисту, щоб встановити порушення її процесуальних прав.</w:t>
      </w:r>
    </w:p>
    <w:p w14:paraId="3ED76971" w14:textId="68F4E2F3" w:rsidR="00091694" w:rsidRPr="00222DB2" w:rsidRDefault="00091694" w:rsidP="00791109">
      <w:pPr>
        <w:pStyle w:val="JuPara"/>
        <w:ind w:firstLine="0"/>
        <w:rPr>
          <w:lang w:val="uk-UA"/>
        </w:rPr>
      </w:pPr>
    </w:p>
    <w:p w14:paraId="15B36862" w14:textId="67777D1A" w:rsidR="00091694" w:rsidRDefault="00091694" w:rsidP="00791109">
      <w:pPr>
        <w:pStyle w:val="JuPara"/>
        <w:ind w:firstLine="0"/>
        <w:rPr>
          <w:lang w:val="uk-UA"/>
        </w:rPr>
      </w:pPr>
      <w:r w:rsidRPr="00222DB2">
        <w:rPr>
          <w:lang w:val="uk-UA"/>
        </w:rPr>
        <w:t xml:space="preserve">Більшість не погоджуються і посилаються на справу </w:t>
      </w:r>
      <w:r w:rsidRPr="001729D4">
        <w:rPr>
          <w:rFonts w:ascii="Cambria" w:hAnsi="Cambria"/>
          <w:i/>
          <w:iCs/>
          <w:sz w:val="22"/>
          <w:szCs w:val="22"/>
          <w:lang w:val="uk-UA"/>
        </w:rPr>
        <w:t>«</w:t>
      </w:r>
      <w:proofErr w:type="spellStart"/>
      <w:r w:rsidRPr="001729D4">
        <w:rPr>
          <w:rFonts w:ascii="Cambria" w:hAnsi="Cambria"/>
          <w:i/>
          <w:iCs/>
          <w:sz w:val="22"/>
          <w:szCs w:val="22"/>
          <w:lang w:val="uk-UA"/>
        </w:rPr>
        <w:t>Remetin</w:t>
      </w:r>
      <w:proofErr w:type="spellEnd"/>
      <w:r w:rsidRPr="001729D4">
        <w:rPr>
          <w:rFonts w:ascii="Cambria" w:hAnsi="Cambria"/>
          <w:i/>
          <w:iCs/>
          <w:sz w:val="22"/>
          <w:szCs w:val="22"/>
          <w:lang w:val="uk-UA"/>
        </w:rPr>
        <w:t xml:space="preserve"> v. Croatia» (№ 29525/10, п. 76)</w:t>
      </w:r>
      <w:r w:rsidRPr="001729D4">
        <w:rPr>
          <w:i/>
          <w:iCs/>
          <w:sz w:val="22"/>
          <w:szCs w:val="22"/>
          <w:lang w:val="uk-UA"/>
        </w:rPr>
        <w:t xml:space="preserve"> </w:t>
      </w:r>
      <w:r w:rsidRPr="00222DB2">
        <w:rPr>
          <w:lang w:val="uk-UA"/>
        </w:rPr>
        <w:t xml:space="preserve">та справу </w:t>
      </w:r>
      <w:r w:rsidRPr="001729D4">
        <w:rPr>
          <w:rFonts w:ascii="Cambria" w:hAnsi="Cambria"/>
          <w:i/>
          <w:iCs/>
          <w:sz w:val="22"/>
          <w:szCs w:val="22"/>
          <w:lang w:val="uk-UA"/>
        </w:rPr>
        <w:t>«</w:t>
      </w:r>
      <w:proofErr w:type="spellStart"/>
      <w:r w:rsidRPr="001729D4">
        <w:rPr>
          <w:rFonts w:ascii="Cambria" w:hAnsi="Cambria"/>
          <w:i/>
          <w:iCs/>
          <w:sz w:val="22"/>
          <w:szCs w:val="22"/>
          <w:lang w:val="uk-UA"/>
        </w:rPr>
        <w:t>Pulfer</w:t>
      </w:r>
      <w:proofErr w:type="spellEnd"/>
      <w:r w:rsidRPr="001729D4">
        <w:rPr>
          <w:rFonts w:ascii="Cambria" w:hAnsi="Cambria"/>
          <w:i/>
          <w:iCs/>
          <w:sz w:val="22"/>
          <w:szCs w:val="22"/>
          <w:lang w:val="uk-UA"/>
        </w:rPr>
        <w:t xml:space="preserve"> v. </w:t>
      </w:r>
      <w:proofErr w:type="spellStart"/>
      <w:r w:rsidRPr="001729D4">
        <w:rPr>
          <w:rFonts w:ascii="Cambria" w:hAnsi="Cambria"/>
          <w:i/>
          <w:iCs/>
          <w:sz w:val="22"/>
          <w:szCs w:val="22"/>
          <w:lang w:val="uk-UA"/>
        </w:rPr>
        <w:t>Albania</w:t>
      </w:r>
      <w:proofErr w:type="spellEnd"/>
      <w:r w:rsidRPr="001729D4">
        <w:rPr>
          <w:rFonts w:ascii="Cambria" w:hAnsi="Cambria"/>
          <w:i/>
          <w:iCs/>
          <w:sz w:val="22"/>
          <w:szCs w:val="22"/>
          <w:lang w:val="uk-UA"/>
        </w:rPr>
        <w:t xml:space="preserve"> (№ 31959/13, п. 71)</w:t>
      </w:r>
      <w:r w:rsidRPr="001729D4">
        <w:rPr>
          <w:rFonts w:ascii="Cambria" w:hAnsi="Cambria"/>
          <w:sz w:val="22"/>
          <w:szCs w:val="22"/>
          <w:lang w:val="uk-UA"/>
        </w:rPr>
        <w:t xml:space="preserve">, </w:t>
      </w:r>
      <w:r w:rsidRPr="00222DB2">
        <w:rPr>
          <w:lang w:val="uk-UA"/>
        </w:rPr>
        <w:t xml:space="preserve">щоб підтвердити те, </w:t>
      </w:r>
      <w:r w:rsidRPr="00222DB2">
        <w:rPr>
          <w:lang w:val="uk-UA"/>
        </w:rPr>
        <w:lastRenderedPageBreak/>
        <w:t xml:space="preserve">що немає необхідності звертатися до провадження </w:t>
      </w:r>
      <w:r w:rsidR="002770C7">
        <w:rPr>
          <w:lang w:val="uk-UA"/>
        </w:rPr>
        <w:t>у</w:t>
      </w:r>
      <w:r w:rsidR="00C533A1">
        <w:rPr>
          <w:lang w:val="uk-UA"/>
        </w:rPr>
        <w:t xml:space="preserve"> рамках</w:t>
      </w:r>
      <w:r w:rsidRPr="00222DB2">
        <w:rPr>
          <w:lang w:val="uk-UA"/>
        </w:rPr>
        <w:t xml:space="preserve"> </w:t>
      </w:r>
      <w:r w:rsidRPr="0003030B">
        <w:rPr>
          <w:rFonts w:ascii="Cambria" w:hAnsi="Cambria"/>
          <w:i/>
          <w:iCs/>
          <w:sz w:val="22"/>
          <w:szCs w:val="22"/>
          <w:lang w:val="uk-UA"/>
        </w:rPr>
        <w:t xml:space="preserve">Закону про відшкодування шкоди, </w:t>
      </w:r>
      <w:r w:rsidR="00C533A1" w:rsidRPr="0003030B">
        <w:rPr>
          <w:rFonts w:ascii="Cambria" w:hAnsi="Cambria"/>
          <w:i/>
          <w:iCs/>
          <w:sz w:val="22"/>
          <w:szCs w:val="22"/>
          <w:lang w:val="uk-UA"/>
        </w:rPr>
        <w:t>завдано</w:t>
      </w:r>
      <w:r w:rsidR="001729D4">
        <w:rPr>
          <w:rFonts w:ascii="Cambria" w:hAnsi="Cambria"/>
          <w:i/>
          <w:iCs/>
          <w:sz w:val="22"/>
          <w:szCs w:val="22"/>
          <w:lang w:val="uk-UA"/>
        </w:rPr>
        <w:t>ї</w:t>
      </w:r>
      <w:r w:rsidRPr="0003030B">
        <w:rPr>
          <w:rFonts w:ascii="Cambria" w:hAnsi="Cambria"/>
          <w:i/>
          <w:iCs/>
          <w:sz w:val="22"/>
          <w:szCs w:val="22"/>
          <w:lang w:val="uk-UA"/>
        </w:rPr>
        <w:t xml:space="preserve"> у кримінальному провадженні</w:t>
      </w:r>
      <w:r w:rsidRPr="00222DB2">
        <w:rPr>
          <w:lang w:val="uk-UA"/>
        </w:rPr>
        <w:t>.</w:t>
      </w:r>
      <w:r w:rsidR="002770C7">
        <w:rPr>
          <w:lang w:val="uk-UA"/>
        </w:rPr>
        <w:t xml:space="preserve"> </w:t>
      </w:r>
      <w:r w:rsidRPr="00222DB2">
        <w:rPr>
          <w:lang w:val="uk-UA"/>
        </w:rPr>
        <w:t xml:space="preserve">Однак ці випадки відрізнялися від нинішніх, оскільки </w:t>
      </w:r>
      <w:r w:rsidR="00380D16" w:rsidRPr="00222DB2">
        <w:rPr>
          <w:lang w:val="uk-UA"/>
        </w:rPr>
        <w:t>У</w:t>
      </w:r>
      <w:r w:rsidRPr="00222DB2">
        <w:rPr>
          <w:lang w:val="uk-UA"/>
        </w:rPr>
        <w:t xml:space="preserve">ряди </w:t>
      </w:r>
      <w:r w:rsidR="00380D16" w:rsidRPr="00222DB2">
        <w:rPr>
          <w:lang w:val="uk-UA"/>
        </w:rPr>
        <w:t>заявляли</w:t>
      </w:r>
      <w:r w:rsidRPr="00222DB2">
        <w:rPr>
          <w:lang w:val="uk-UA"/>
        </w:rPr>
        <w:t xml:space="preserve">, що заявники повинні були </w:t>
      </w:r>
      <w:r w:rsidR="00380D16" w:rsidRPr="00222DB2">
        <w:rPr>
          <w:lang w:val="uk-UA"/>
        </w:rPr>
        <w:t>подати</w:t>
      </w:r>
      <w:r w:rsidRPr="00222DB2">
        <w:rPr>
          <w:lang w:val="uk-UA"/>
        </w:rPr>
        <w:t xml:space="preserve"> позови про відшкодування цивільної шкоди проти </w:t>
      </w:r>
      <w:r w:rsidRPr="0003030B">
        <w:rPr>
          <w:i/>
          <w:iCs/>
          <w:lang w:val="uk-UA"/>
        </w:rPr>
        <w:t>винного</w:t>
      </w:r>
      <w:r w:rsidRPr="00222DB2">
        <w:rPr>
          <w:lang w:val="uk-UA"/>
        </w:rPr>
        <w:t xml:space="preserve"> (а не держави-відповідача). У тих випадках, коли органи влади не виконують своїх зобов’язань щодо проведення розслідування, здатного притягнути </w:t>
      </w:r>
      <w:r w:rsidR="00380D16" w:rsidRPr="00222DB2">
        <w:rPr>
          <w:lang w:val="uk-UA"/>
        </w:rPr>
        <w:t xml:space="preserve">до відповідальності </w:t>
      </w:r>
      <w:r w:rsidRPr="00222DB2">
        <w:rPr>
          <w:lang w:val="uk-UA"/>
        </w:rPr>
        <w:t xml:space="preserve">винного у тяжкому злочині, потерпілого не можна </w:t>
      </w:r>
      <w:r w:rsidR="00C533A1" w:rsidRPr="00222DB2">
        <w:rPr>
          <w:lang w:val="uk-UA"/>
        </w:rPr>
        <w:t>зобов’язувати</w:t>
      </w:r>
      <w:r w:rsidRPr="00222DB2">
        <w:rPr>
          <w:lang w:val="uk-UA"/>
        </w:rPr>
        <w:t xml:space="preserve"> до цивільного процесу проти окремого злочинця, оскільки такого провадження недостатньо для захисту процесуальних прав заявника відповідно до ст. 3 Конвенції. Однак це не розглядається у цій справі. Уряд не стверджував, що заявниця мала порушити цивільний процес проти свого батька, а скоріше відповідне провадження щодо встановлення відповідальності держави за шкоду, заподіяну у кримінальному провадженні. Якщо так</w:t>
      </w:r>
      <w:r w:rsidR="00380D16" w:rsidRPr="00222DB2">
        <w:rPr>
          <w:lang w:val="uk-UA"/>
        </w:rPr>
        <w:t>і</w:t>
      </w:r>
      <w:r w:rsidRPr="00222DB2">
        <w:rPr>
          <w:lang w:val="uk-UA"/>
        </w:rPr>
        <w:t xml:space="preserve"> провадження дозволя</w:t>
      </w:r>
      <w:r w:rsidR="00380D16" w:rsidRPr="00222DB2">
        <w:rPr>
          <w:lang w:val="uk-UA"/>
        </w:rPr>
        <w:t>ють</w:t>
      </w:r>
      <w:r w:rsidRPr="00222DB2">
        <w:rPr>
          <w:lang w:val="uk-UA"/>
        </w:rPr>
        <w:t xml:space="preserve"> встановити, що кримінально-правові механізми були неповноцінними та забезпечу</w:t>
      </w:r>
      <w:r w:rsidR="00380D16" w:rsidRPr="00222DB2">
        <w:rPr>
          <w:lang w:val="uk-UA"/>
        </w:rPr>
        <w:t>ють</w:t>
      </w:r>
      <w:r w:rsidRPr="00222DB2">
        <w:rPr>
          <w:lang w:val="uk-UA"/>
        </w:rPr>
        <w:t xml:space="preserve"> заявнику належну компенсацію, вони становлять ефективний засіб захисту, який заявники повинні використ</w:t>
      </w:r>
      <w:r w:rsidR="0003030B">
        <w:rPr>
          <w:lang w:val="uk-UA"/>
        </w:rPr>
        <w:t>а</w:t>
      </w:r>
      <w:r w:rsidRPr="00222DB2">
        <w:rPr>
          <w:lang w:val="uk-UA"/>
        </w:rPr>
        <w:t>ти відповідно до п</w:t>
      </w:r>
      <w:r w:rsidR="00380D16" w:rsidRPr="00222DB2">
        <w:rPr>
          <w:lang w:val="uk-UA"/>
        </w:rPr>
        <w:t>.</w:t>
      </w:r>
      <w:r w:rsidRPr="00222DB2">
        <w:rPr>
          <w:lang w:val="uk-UA"/>
        </w:rPr>
        <w:t xml:space="preserve"> 1 ст</w:t>
      </w:r>
      <w:r w:rsidR="00380D16" w:rsidRPr="00222DB2">
        <w:rPr>
          <w:lang w:val="uk-UA"/>
        </w:rPr>
        <w:t>.</w:t>
      </w:r>
      <w:r w:rsidRPr="00222DB2">
        <w:rPr>
          <w:lang w:val="uk-UA"/>
        </w:rPr>
        <w:t xml:space="preserve"> 35 Конвенції </w:t>
      </w:r>
      <w:r w:rsidRPr="00222DB2">
        <w:rPr>
          <w:i/>
          <w:iCs/>
          <w:lang w:val="uk-UA"/>
        </w:rPr>
        <w:t>(</w:t>
      </w:r>
      <w:proofErr w:type="spellStart"/>
      <w:r w:rsidRPr="00222DB2">
        <w:rPr>
          <w:i/>
          <w:iCs/>
          <w:lang w:val="uk-UA"/>
        </w:rPr>
        <w:t>see</w:t>
      </w:r>
      <w:proofErr w:type="spellEnd"/>
      <w:r w:rsidRPr="00222DB2">
        <w:rPr>
          <w:i/>
          <w:iCs/>
          <w:lang w:val="uk-UA"/>
        </w:rPr>
        <w:t xml:space="preserve">, </w:t>
      </w:r>
      <w:proofErr w:type="spellStart"/>
      <w:r w:rsidRPr="00222DB2">
        <w:rPr>
          <w:i/>
          <w:iCs/>
          <w:lang w:val="uk-UA"/>
        </w:rPr>
        <w:t>mutatis</w:t>
      </w:r>
      <w:proofErr w:type="spellEnd"/>
      <w:r w:rsidRPr="00222DB2">
        <w:rPr>
          <w:i/>
          <w:iCs/>
          <w:lang w:val="uk-UA"/>
        </w:rPr>
        <w:t xml:space="preserve"> </w:t>
      </w:r>
      <w:proofErr w:type="spellStart"/>
      <w:r w:rsidRPr="00222DB2">
        <w:rPr>
          <w:i/>
          <w:iCs/>
          <w:lang w:val="uk-UA"/>
        </w:rPr>
        <w:t>mutandis</w:t>
      </w:r>
      <w:proofErr w:type="spellEnd"/>
      <w:r w:rsidRPr="00222DB2">
        <w:rPr>
          <w:i/>
          <w:iCs/>
          <w:lang w:val="uk-UA"/>
        </w:rPr>
        <w:t>, «</w:t>
      </w:r>
      <w:proofErr w:type="spellStart"/>
      <w:r w:rsidRPr="00222DB2">
        <w:rPr>
          <w:i/>
          <w:iCs/>
          <w:lang w:val="uk-UA"/>
        </w:rPr>
        <w:t>Januškevičienė</w:t>
      </w:r>
      <w:proofErr w:type="spellEnd"/>
      <w:r w:rsidRPr="00222DB2">
        <w:rPr>
          <w:i/>
          <w:iCs/>
          <w:lang w:val="uk-UA"/>
        </w:rPr>
        <w:t xml:space="preserve"> v. Lithuania» № 69717/14, п.п. 58-62);</w:t>
      </w:r>
      <w:r w:rsidRPr="00222DB2">
        <w:rPr>
          <w:lang w:val="uk-UA"/>
        </w:rPr>
        <w:t xml:space="preserve"> тим більше, що Суд не виходить за межі такого рішення у цій справі. Суд визнає порушення позитивного зобов’язання держави-відповідача та зобов’язує державу-відповідача виплатити заявникові компенсацію у вигляді компенсації моральної шкоди. Я сумніваюся, що Суд може відхилити </w:t>
      </w:r>
      <w:r w:rsidR="001729D4" w:rsidRPr="00222DB2">
        <w:rPr>
          <w:lang w:val="uk-UA"/>
        </w:rPr>
        <w:t>як неефективні</w:t>
      </w:r>
      <w:r w:rsidR="001729D4" w:rsidRPr="00222DB2">
        <w:rPr>
          <w:lang w:val="uk-UA"/>
        </w:rPr>
        <w:t xml:space="preserve"> </w:t>
      </w:r>
      <w:r w:rsidRPr="00222DB2">
        <w:rPr>
          <w:lang w:val="uk-UA"/>
        </w:rPr>
        <w:t xml:space="preserve">національні засоби правового захисту, які можуть призвести до таких самих результатів. </w:t>
      </w:r>
      <w:r w:rsidR="002770C7">
        <w:rPr>
          <w:lang w:val="uk-UA"/>
        </w:rPr>
        <w:t>Інакше це б</w:t>
      </w:r>
      <w:r w:rsidRPr="00222DB2">
        <w:rPr>
          <w:lang w:val="uk-UA"/>
        </w:rPr>
        <w:t xml:space="preserve"> поставило</w:t>
      </w:r>
      <w:r w:rsidR="002770C7">
        <w:rPr>
          <w:lang w:val="uk-UA"/>
        </w:rPr>
        <w:t xml:space="preserve"> </w:t>
      </w:r>
      <w:r w:rsidRPr="00222DB2">
        <w:rPr>
          <w:lang w:val="uk-UA"/>
        </w:rPr>
        <w:t xml:space="preserve">під сумнів ефективність процедури подання </w:t>
      </w:r>
      <w:r w:rsidR="002770C7">
        <w:rPr>
          <w:lang w:val="uk-UA"/>
        </w:rPr>
        <w:t>скарги</w:t>
      </w:r>
      <w:r w:rsidRPr="00222DB2">
        <w:rPr>
          <w:lang w:val="uk-UA"/>
        </w:rPr>
        <w:t xml:space="preserve"> відповідно до Конвенції.</w:t>
      </w:r>
    </w:p>
    <w:p w14:paraId="4FD5BA15" w14:textId="5550A5D9" w:rsidR="00091694" w:rsidRPr="00222DB2" w:rsidRDefault="00091694" w:rsidP="00791109">
      <w:pPr>
        <w:pStyle w:val="JuPara"/>
        <w:ind w:firstLine="0"/>
        <w:rPr>
          <w:lang w:val="uk-UA"/>
        </w:rPr>
      </w:pPr>
    </w:p>
    <w:p w14:paraId="6D9DA62C" w14:textId="253977D4" w:rsidR="00987040" w:rsidRPr="00222DB2" w:rsidRDefault="00091694" w:rsidP="00091694">
      <w:pPr>
        <w:pStyle w:val="JuPara"/>
        <w:ind w:firstLine="0"/>
        <w:rPr>
          <w:i/>
          <w:iCs/>
          <w:lang w:val="uk-UA"/>
        </w:rPr>
      </w:pPr>
      <w:r w:rsidRPr="00222DB2">
        <w:rPr>
          <w:lang w:val="uk-UA"/>
        </w:rPr>
        <w:t xml:space="preserve">Тому більшість мала б подумати про те, чи могла б вимога про відшкодування збитків до держави відповідно до </w:t>
      </w:r>
      <w:r w:rsidRPr="0003030B">
        <w:rPr>
          <w:rFonts w:ascii="Cambria" w:hAnsi="Cambria"/>
          <w:i/>
          <w:iCs/>
          <w:sz w:val="22"/>
          <w:szCs w:val="22"/>
          <w:lang w:val="uk-UA"/>
        </w:rPr>
        <w:t xml:space="preserve">Закону про відшкодування шкоди, </w:t>
      </w:r>
      <w:r w:rsidR="002770C7" w:rsidRPr="0003030B">
        <w:rPr>
          <w:rFonts w:ascii="Cambria" w:hAnsi="Cambria"/>
          <w:i/>
          <w:iCs/>
          <w:sz w:val="22"/>
          <w:szCs w:val="22"/>
          <w:lang w:val="uk-UA"/>
        </w:rPr>
        <w:t>завданої</w:t>
      </w:r>
      <w:r w:rsidRPr="0003030B">
        <w:rPr>
          <w:rFonts w:ascii="Cambria" w:hAnsi="Cambria"/>
          <w:i/>
          <w:iCs/>
          <w:sz w:val="22"/>
          <w:szCs w:val="22"/>
          <w:lang w:val="uk-UA"/>
        </w:rPr>
        <w:t xml:space="preserve"> у кримінальному провадженні</w:t>
      </w:r>
      <w:r w:rsidR="001729D4">
        <w:rPr>
          <w:lang w:val="uk-UA"/>
        </w:rPr>
        <w:t>,</w:t>
      </w:r>
      <w:r w:rsidRPr="00222DB2">
        <w:rPr>
          <w:lang w:val="uk-UA"/>
        </w:rPr>
        <w:t xml:space="preserve"> запропонувати заявниці ефективний засіб захисту від її недостатнього процесуального захисту під час кримінального провадження проти її батька. Згідно зі встановленою судовою практикою Суду, Уряд несе тягар доведення ефективності та доступності засобу правового захисту </w:t>
      </w:r>
      <w:r w:rsidRPr="00222DB2">
        <w:rPr>
          <w:i/>
          <w:iCs/>
          <w:lang w:val="uk-UA"/>
        </w:rPr>
        <w:t>(</w:t>
      </w:r>
      <w:proofErr w:type="spellStart"/>
      <w:r w:rsidRPr="00222DB2">
        <w:rPr>
          <w:i/>
          <w:iCs/>
          <w:lang w:val="uk-UA"/>
        </w:rPr>
        <w:t>see</w:t>
      </w:r>
      <w:proofErr w:type="spellEnd"/>
      <w:r w:rsidRPr="00222DB2">
        <w:rPr>
          <w:i/>
          <w:iCs/>
          <w:lang w:val="uk-UA"/>
        </w:rPr>
        <w:t xml:space="preserve"> «</w:t>
      </w:r>
      <w:proofErr w:type="spellStart"/>
      <w:r w:rsidRPr="00222DB2">
        <w:rPr>
          <w:i/>
          <w:iCs/>
          <w:lang w:val="uk-UA"/>
        </w:rPr>
        <w:t>Molla</w:t>
      </w:r>
      <w:proofErr w:type="spellEnd"/>
      <w:r w:rsidRPr="00222DB2">
        <w:rPr>
          <w:i/>
          <w:iCs/>
          <w:lang w:val="uk-UA"/>
        </w:rPr>
        <w:t xml:space="preserve"> </w:t>
      </w:r>
      <w:proofErr w:type="spellStart"/>
      <w:r w:rsidRPr="00222DB2">
        <w:rPr>
          <w:i/>
          <w:iCs/>
          <w:lang w:val="uk-UA"/>
        </w:rPr>
        <w:t>Sali</w:t>
      </w:r>
      <w:proofErr w:type="spellEnd"/>
      <w:r w:rsidRPr="00222DB2">
        <w:rPr>
          <w:i/>
          <w:iCs/>
          <w:lang w:val="uk-UA"/>
        </w:rPr>
        <w:t xml:space="preserve"> v. Greece» [GC], № 20452/14, п. 89; «</w:t>
      </w:r>
      <w:proofErr w:type="spellStart"/>
      <w:r w:rsidRPr="00222DB2">
        <w:rPr>
          <w:i/>
          <w:iCs/>
          <w:lang w:val="uk-UA"/>
        </w:rPr>
        <w:t>Mocanu</w:t>
      </w:r>
      <w:proofErr w:type="spellEnd"/>
      <w:r w:rsidRPr="00222DB2">
        <w:rPr>
          <w:i/>
          <w:iCs/>
          <w:lang w:val="uk-UA"/>
        </w:rPr>
        <w:t xml:space="preserve"> and Others», </w:t>
      </w:r>
      <w:proofErr w:type="spellStart"/>
      <w:r w:rsidRPr="00222DB2">
        <w:rPr>
          <w:i/>
          <w:iCs/>
          <w:lang w:val="uk-UA"/>
        </w:rPr>
        <w:t>cited</w:t>
      </w:r>
      <w:proofErr w:type="spellEnd"/>
      <w:r w:rsidRPr="00222DB2">
        <w:rPr>
          <w:i/>
          <w:iCs/>
          <w:lang w:val="uk-UA"/>
        </w:rPr>
        <w:t xml:space="preserve"> </w:t>
      </w:r>
      <w:proofErr w:type="spellStart"/>
      <w:r w:rsidRPr="00222DB2">
        <w:rPr>
          <w:i/>
          <w:iCs/>
          <w:lang w:val="uk-UA"/>
        </w:rPr>
        <w:t>above</w:t>
      </w:r>
      <w:proofErr w:type="spellEnd"/>
      <w:r w:rsidRPr="00222DB2">
        <w:rPr>
          <w:i/>
          <w:iCs/>
          <w:lang w:val="uk-UA"/>
        </w:rPr>
        <w:t>, п. 225; «</w:t>
      </w:r>
      <w:proofErr w:type="spellStart"/>
      <w:r w:rsidRPr="00222DB2">
        <w:rPr>
          <w:i/>
          <w:iCs/>
          <w:lang w:val="uk-UA"/>
        </w:rPr>
        <w:t>Dalia</w:t>
      </w:r>
      <w:proofErr w:type="spellEnd"/>
      <w:r w:rsidRPr="00222DB2">
        <w:rPr>
          <w:i/>
          <w:iCs/>
          <w:lang w:val="uk-UA"/>
        </w:rPr>
        <w:t xml:space="preserve"> v. France», п. 38, Reports of Judgments and Decisions 1998</w:t>
      </w:r>
      <w:r w:rsidRPr="00222DB2">
        <w:rPr>
          <w:i/>
          <w:iCs/>
          <w:lang w:val="uk-UA"/>
        </w:rPr>
        <w:noBreakHyphen/>
        <w:t>I; «</w:t>
      </w:r>
      <w:proofErr w:type="spellStart"/>
      <w:r w:rsidRPr="00222DB2">
        <w:rPr>
          <w:i/>
          <w:iCs/>
          <w:lang w:val="uk-UA"/>
        </w:rPr>
        <w:t>McFarlane</w:t>
      </w:r>
      <w:proofErr w:type="spellEnd"/>
      <w:r w:rsidRPr="00222DB2">
        <w:rPr>
          <w:i/>
          <w:iCs/>
          <w:lang w:val="uk-UA"/>
        </w:rPr>
        <w:t xml:space="preserve"> v. Ireland» [GC], № 31333/06, п. 107; «</w:t>
      </w:r>
      <w:proofErr w:type="spellStart"/>
      <w:r w:rsidRPr="00222DB2">
        <w:rPr>
          <w:i/>
          <w:iCs/>
          <w:lang w:val="uk-UA"/>
        </w:rPr>
        <w:t>Vučković</w:t>
      </w:r>
      <w:proofErr w:type="spellEnd"/>
      <w:r w:rsidRPr="00222DB2">
        <w:rPr>
          <w:i/>
          <w:iCs/>
          <w:lang w:val="uk-UA"/>
        </w:rPr>
        <w:t xml:space="preserve"> and Others», </w:t>
      </w:r>
      <w:proofErr w:type="spellStart"/>
      <w:r w:rsidRPr="00222DB2">
        <w:rPr>
          <w:i/>
          <w:iCs/>
          <w:lang w:val="uk-UA"/>
        </w:rPr>
        <w:t>cited</w:t>
      </w:r>
      <w:proofErr w:type="spellEnd"/>
      <w:r w:rsidRPr="00222DB2">
        <w:rPr>
          <w:i/>
          <w:iCs/>
          <w:lang w:val="uk-UA"/>
        </w:rPr>
        <w:t xml:space="preserve"> </w:t>
      </w:r>
      <w:proofErr w:type="spellStart"/>
      <w:r w:rsidRPr="00222DB2">
        <w:rPr>
          <w:i/>
          <w:iCs/>
          <w:lang w:val="uk-UA"/>
        </w:rPr>
        <w:t>above</w:t>
      </w:r>
      <w:proofErr w:type="spellEnd"/>
      <w:r w:rsidRPr="00222DB2">
        <w:rPr>
          <w:i/>
          <w:iCs/>
          <w:lang w:val="uk-UA"/>
        </w:rPr>
        <w:t>, п. 77).</w:t>
      </w:r>
      <w:r w:rsidRPr="00222DB2">
        <w:rPr>
          <w:lang w:val="uk-UA"/>
        </w:rPr>
        <w:t xml:space="preserve"> Уряд повинен мати можливість проілюструвати практичну ефективність засобу правового захисту прикладами національної судової практики. Зокрема, якщо Уряд стверджує, що заявник міг посилатися безпосередньо на Конвенцію в національних судах, ступінь визначеності такого засобу правового захисту потрібно буде продемонструвати на конкретних прикладах </w:t>
      </w:r>
      <w:r w:rsidRPr="00222DB2">
        <w:rPr>
          <w:i/>
          <w:iCs/>
          <w:lang w:val="uk-UA"/>
        </w:rPr>
        <w:t>(</w:t>
      </w:r>
      <w:proofErr w:type="spellStart"/>
      <w:r w:rsidRPr="00222DB2">
        <w:rPr>
          <w:i/>
          <w:iCs/>
          <w:lang w:val="uk-UA"/>
        </w:rPr>
        <w:t>see</w:t>
      </w:r>
      <w:proofErr w:type="spellEnd"/>
      <w:r w:rsidRPr="00222DB2">
        <w:rPr>
          <w:i/>
          <w:iCs/>
          <w:lang w:val="uk-UA"/>
        </w:rPr>
        <w:t xml:space="preserve"> «</w:t>
      </w:r>
      <w:proofErr w:type="spellStart"/>
      <w:r w:rsidRPr="00222DB2">
        <w:rPr>
          <w:i/>
          <w:iCs/>
          <w:lang w:val="uk-UA"/>
        </w:rPr>
        <w:t>Slavgorodski</w:t>
      </w:r>
      <w:proofErr w:type="spellEnd"/>
      <w:r w:rsidRPr="00222DB2">
        <w:rPr>
          <w:i/>
          <w:iCs/>
          <w:lang w:val="uk-UA"/>
        </w:rPr>
        <w:t xml:space="preserve"> v. </w:t>
      </w:r>
      <w:proofErr w:type="spellStart"/>
      <w:r w:rsidRPr="00222DB2">
        <w:rPr>
          <w:i/>
          <w:iCs/>
          <w:lang w:val="uk-UA"/>
        </w:rPr>
        <w:t>Estonia</w:t>
      </w:r>
      <w:proofErr w:type="spellEnd"/>
      <w:r w:rsidRPr="00222DB2">
        <w:rPr>
          <w:i/>
          <w:iCs/>
          <w:lang w:val="uk-UA"/>
        </w:rPr>
        <w:t>» (</w:t>
      </w:r>
      <w:proofErr w:type="spellStart"/>
      <w:r w:rsidRPr="00222DB2">
        <w:rPr>
          <w:i/>
          <w:iCs/>
          <w:lang w:val="uk-UA"/>
        </w:rPr>
        <w:t>dec</w:t>
      </w:r>
      <w:proofErr w:type="spellEnd"/>
      <w:r w:rsidRPr="00222DB2">
        <w:rPr>
          <w:i/>
          <w:iCs/>
          <w:lang w:val="uk-UA"/>
        </w:rPr>
        <w:t>.), № 37043/97).</w:t>
      </w:r>
    </w:p>
    <w:p w14:paraId="26D6ABEE" w14:textId="77777777" w:rsidR="00987040" w:rsidRPr="00222DB2" w:rsidRDefault="00987040" w:rsidP="00091694">
      <w:pPr>
        <w:pStyle w:val="JuPara"/>
        <w:ind w:firstLine="0"/>
        <w:rPr>
          <w:lang w:val="uk-UA"/>
        </w:rPr>
      </w:pPr>
    </w:p>
    <w:p w14:paraId="7B0744A3" w14:textId="224D221A" w:rsidR="00987040" w:rsidRDefault="00091694" w:rsidP="00987040">
      <w:pPr>
        <w:pStyle w:val="JuPara"/>
        <w:ind w:firstLine="0"/>
        <w:rPr>
          <w:lang w:val="uk-UA"/>
        </w:rPr>
      </w:pPr>
      <w:r w:rsidRPr="00222DB2">
        <w:rPr>
          <w:lang w:val="uk-UA"/>
        </w:rPr>
        <w:t xml:space="preserve">У цій справі Уряд не продемонстрував ефективність процедури відповідно до </w:t>
      </w:r>
      <w:r w:rsidRPr="0003030B">
        <w:rPr>
          <w:rFonts w:ascii="Cambria" w:hAnsi="Cambria"/>
          <w:i/>
          <w:iCs/>
          <w:sz w:val="22"/>
          <w:szCs w:val="22"/>
          <w:lang w:val="uk-UA"/>
        </w:rPr>
        <w:t xml:space="preserve">Закону про відшкодування шкоди, </w:t>
      </w:r>
      <w:r w:rsidR="002770C7" w:rsidRPr="0003030B">
        <w:rPr>
          <w:rFonts w:ascii="Cambria" w:hAnsi="Cambria"/>
          <w:i/>
          <w:iCs/>
          <w:sz w:val="22"/>
          <w:szCs w:val="22"/>
          <w:lang w:val="uk-UA"/>
        </w:rPr>
        <w:t>завданої</w:t>
      </w:r>
      <w:r w:rsidRPr="0003030B">
        <w:rPr>
          <w:rFonts w:ascii="Cambria" w:hAnsi="Cambria"/>
          <w:i/>
          <w:iCs/>
          <w:sz w:val="22"/>
          <w:szCs w:val="22"/>
          <w:lang w:val="uk-UA"/>
        </w:rPr>
        <w:t xml:space="preserve"> у кримінальному провадженні</w:t>
      </w:r>
      <w:r w:rsidR="00987040" w:rsidRPr="00222DB2">
        <w:rPr>
          <w:lang w:val="uk-UA"/>
        </w:rPr>
        <w:t>,</w:t>
      </w:r>
      <w:r w:rsidRPr="00222DB2">
        <w:rPr>
          <w:lang w:val="uk-UA"/>
        </w:rPr>
        <w:t xml:space="preserve"> </w:t>
      </w:r>
      <w:r w:rsidR="002770C7">
        <w:rPr>
          <w:lang w:val="uk-UA"/>
        </w:rPr>
        <w:t>щодо</w:t>
      </w:r>
      <w:r w:rsidRPr="00222DB2">
        <w:rPr>
          <w:lang w:val="uk-UA"/>
        </w:rPr>
        <w:t xml:space="preserve"> </w:t>
      </w:r>
      <w:r w:rsidR="00987040" w:rsidRPr="00222DB2">
        <w:rPr>
          <w:lang w:val="uk-UA"/>
        </w:rPr>
        <w:lastRenderedPageBreak/>
        <w:t>заявлен</w:t>
      </w:r>
      <w:r w:rsidR="002770C7">
        <w:rPr>
          <w:lang w:val="uk-UA"/>
        </w:rPr>
        <w:t>их</w:t>
      </w:r>
      <w:r w:rsidRPr="00222DB2">
        <w:rPr>
          <w:lang w:val="uk-UA"/>
        </w:rPr>
        <w:t xml:space="preserve"> порушен</w:t>
      </w:r>
      <w:r w:rsidR="002770C7">
        <w:rPr>
          <w:lang w:val="uk-UA"/>
        </w:rPr>
        <w:t>ь</w:t>
      </w:r>
      <w:r w:rsidRPr="00222DB2">
        <w:rPr>
          <w:lang w:val="uk-UA"/>
        </w:rPr>
        <w:t xml:space="preserve"> позитивних зобов’язань держави за ст. 3 і ст. 8 Конвенції. Ст. 7(1) Закону передбачає, що якщо орган, </w:t>
      </w:r>
      <w:r w:rsidR="00987040" w:rsidRPr="00222DB2">
        <w:rPr>
          <w:lang w:val="uk-UA"/>
        </w:rPr>
        <w:t>що</w:t>
      </w:r>
      <w:r w:rsidRPr="00222DB2">
        <w:rPr>
          <w:lang w:val="uk-UA"/>
        </w:rPr>
        <w:t xml:space="preserve"> </w:t>
      </w:r>
      <w:r w:rsidR="00987040" w:rsidRPr="00222DB2">
        <w:rPr>
          <w:lang w:val="uk-UA"/>
        </w:rPr>
        <w:t>здійснює</w:t>
      </w:r>
      <w:r w:rsidRPr="00222DB2">
        <w:rPr>
          <w:lang w:val="uk-UA"/>
        </w:rPr>
        <w:t xml:space="preserve"> провадження, порушив процесуальне законодавство і тим самим завдав </w:t>
      </w:r>
      <w:r w:rsidR="00987040" w:rsidRPr="00222DB2">
        <w:rPr>
          <w:lang w:val="uk-UA"/>
        </w:rPr>
        <w:t>особі</w:t>
      </w:r>
      <w:r w:rsidRPr="00222DB2">
        <w:rPr>
          <w:lang w:val="uk-UA"/>
        </w:rPr>
        <w:t xml:space="preserve"> шкоди, ця особа має право вимагати відшкодування такої шкоди. Незрозуміло, чи застосовується це положення також до порушень Конвенції. Хоча Уряд стверджував, що національні суди зобов’язані враховувати принципи Конвенції, </w:t>
      </w:r>
      <w:r w:rsidR="00987040" w:rsidRPr="00222DB2">
        <w:rPr>
          <w:lang w:val="uk-UA"/>
        </w:rPr>
        <w:t>Уряд</w:t>
      </w:r>
      <w:r w:rsidRPr="00222DB2">
        <w:rPr>
          <w:lang w:val="uk-UA"/>
        </w:rPr>
        <w:t xml:space="preserve"> визна</w:t>
      </w:r>
      <w:r w:rsidR="00987040" w:rsidRPr="00222DB2">
        <w:rPr>
          <w:lang w:val="uk-UA"/>
        </w:rPr>
        <w:t>в</w:t>
      </w:r>
      <w:r w:rsidRPr="00222DB2">
        <w:rPr>
          <w:lang w:val="uk-UA"/>
        </w:rPr>
        <w:t>, що не було випадків, коли порушення кримінально-процесуальної процедури суперечило позитивним зобов’язанням держави відповідно до ст. 3 і ст. 8 Конвенції. Отже, Уряд не виконав свій тягар доведення наявності відповідного та ефективного засобу правового захисту, доступного для заявни</w:t>
      </w:r>
      <w:r w:rsidR="0003030B">
        <w:rPr>
          <w:lang w:val="uk-UA"/>
        </w:rPr>
        <w:t>ці</w:t>
      </w:r>
      <w:r w:rsidRPr="00222DB2">
        <w:rPr>
          <w:lang w:val="uk-UA"/>
        </w:rPr>
        <w:t xml:space="preserve"> у цій справі. Більшість могла </w:t>
      </w:r>
      <w:r w:rsidR="00987040" w:rsidRPr="00222DB2">
        <w:rPr>
          <w:lang w:val="uk-UA"/>
        </w:rPr>
        <w:t xml:space="preserve">б більш повно </w:t>
      </w:r>
      <w:r w:rsidRPr="00222DB2">
        <w:rPr>
          <w:lang w:val="uk-UA"/>
        </w:rPr>
        <w:t xml:space="preserve">обґрунтувати своє </w:t>
      </w:r>
      <w:r w:rsidR="00987040" w:rsidRPr="00222DB2">
        <w:rPr>
          <w:lang w:val="uk-UA"/>
        </w:rPr>
        <w:t>рішення</w:t>
      </w:r>
      <w:r w:rsidRPr="00222DB2">
        <w:rPr>
          <w:lang w:val="uk-UA"/>
        </w:rPr>
        <w:t xml:space="preserve">. Таке </w:t>
      </w:r>
      <w:r w:rsidR="00987040" w:rsidRPr="00222DB2">
        <w:rPr>
          <w:lang w:val="uk-UA"/>
        </w:rPr>
        <w:t>рішення мало б</w:t>
      </w:r>
      <w:r w:rsidRPr="00222DB2">
        <w:rPr>
          <w:lang w:val="uk-UA"/>
        </w:rPr>
        <w:t xml:space="preserve"> ста</w:t>
      </w:r>
      <w:r w:rsidR="00987040" w:rsidRPr="00222DB2">
        <w:rPr>
          <w:lang w:val="uk-UA"/>
        </w:rPr>
        <w:t>ти</w:t>
      </w:r>
      <w:r w:rsidRPr="00222DB2">
        <w:rPr>
          <w:lang w:val="uk-UA"/>
        </w:rPr>
        <w:t xml:space="preserve"> стимулом для держави-відповідача розширити свої внутрішні засоби правового захисту у випадках, коли стверджу</w:t>
      </w:r>
      <w:r w:rsidR="00987040" w:rsidRPr="00222DB2">
        <w:rPr>
          <w:lang w:val="uk-UA"/>
        </w:rPr>
        <w:t>є</w:t>
      </w:r>
      <w:r w:rsidRPr="00222DB2">
        <w:rPr>
          <w:lang w:val="uk-UA"/>
        </w:rPr>
        <w:t xml:space="preserve">ться </w:t>
      </w:r>
      <w:r w:rsidR="00987040" w:rsidRPr="00222DB2">
        <w:rPr>
          <w:lang w:val="uk-UA"/>
        </w:rPr>
        <w:t xml:space="preserve">про </w:t>
      </w:r>
      <w:r w:rsidRPr="00222DB2">
        <w:rPr>
          <w:lang w:val="uk-UA"/>
        </w:rPr>
        <w:t>порушення позитивних прав, і, отже, посили</w:t>
      </w:r>
      <w:r w:rsidR="00987040" w:rsidRPr="00222DB2">
        <w:rPr>
          <w:lang w:val="uk-UA"/>
        </w:rPr>
        <w:t>ло б</w:t>
      </w:r>
      <w:r w:rsidRPr="00222DB2">
        <w:rPr>
          <w:lang w:val="uk-UA"/>
        </w:rPr>
        <w:t xml:space="preserve"> субсидіарність як основний принцип системи Конвенції.</w:t>
      </w:r>
    </w:p>
    <w:p w14:paraId="60A8ECAB" w14:textId="5CDC7197" w:rsidR="00694D48" w:rsidRPr="00222DB2" w:rsidRDefault="00694D48" w:rsidP="00987040">
      <w:pPr>
        <w:pStyle w:val="JuPara"/>
        <w:ind w:firstLine="0"/>
        <w:rPr>
          <w:lang w:val="uk-UA"/>
        </w:rPr>
      </w:pPr>
    </w:p>
    <w:p w14:paraId="381F33CB" w14:textId="0B849093" w:rsidR="00987040" w:rsidRPr="00987040" w:rsidRDefault="00987040" w:rsidP="00987040">
      <w:pPr>
        <w:pStyle w:val="JuPara"/>
        <w:ind w:firstLine="0"/>
        <w:jc w:val="center"/>
        <w:rPr>
          <w:lang w:val="uk-UA"/>
        </w:rPr>
      </w:pPr>
      <w:r w:rsidRPr="00222DB2">
        <w:rPr>
          <w:noProof/>
          <w:lang w:val="uk-UA"/>
        </w:rPr>
        <w:drawing>
          <wp:inline distT="0" distB="0" distL="0" distR="0" wp14:anchorId="77AB09C0" wp14:editId="2A7BDA57">
            <wp:extent cx="1385887" cy="692943"/>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1"/>
                    <a:stretch>
                      <a:fillRect/>
                    </a:stretch>
                  </pic:blipFill>
                  <pic:spPr>
                    <a:xfrm>
                      <a:off x="0" y="0"/>
                      <a:ext cx="1411516" cy="705757"/>
                    </a:xfrm>
                    <a:prstGeom prst="rect">
                      <a:avLst/>
                    </a:prstGeom>
                  </pic:spPr>
                </pic:pic>
              </a:graphicData>
            </a:graphic>
          </wp:inline>
        </w:drawing>
      </w:r>
    </w:p>
    <w:p w14:paraId="22A78440" w14:textId="77777777" w:rsidR="00987040" w:rsidRPr="00222DB2" w:rsidRDefault="00987040" w:rsidP="00091694">
      <w:pPr>
        <w:pStyle w:val="JuPara"/>
        <w:ind w:firstLine="0"/>
        <w:rPr>
          <w:lang w:val="uk-UA"/>
        </w:rPr>
      </w:pPr>
    </w:p>
    <w:p w14:paraId="0AA1DF11" w14:textId="7EF746C5" w:rsidR="00091694" w:rsidRPr="00222DB2" w:rsidRDefault="00091694" w:rsidP="00091694">
      <w:pPr>
        <w:pStyle w:val="JuPara"/>
        <w:ind w:firstLine="0"/>
        <w:rPr>
          <w:lang w:val="uk-UA"/>
        </w:rPr>
      </w:pPr>
    </w:p>
    <w:p w14:paraId="6F62EB39" w14:textId="77777777" w:rsidR="00091694" w:rsidRPr="00222DB2" w:rsidRDefault="00091694" w:rsidP="00091694">
      <w:pPr>
        <w:pStyle w:val="JuPara"/>
        <w:ind w:firstLine="0"/>
        <w:rPr>
          <w:lang w:val="uk-UA"/>
        </w:rPr>
      </w:pPr>
    </w:p>
    <w:sectPr w:rsidR="00091694" w:rsidRPr="00222DB2" w:rsidSect="00BC7A19">
      <w:headerReference w:type="default" r:id="rId12"/>
      <w:footnotePr>
        <w:numRestart w:val="eachSect"/>
      </w:footnotePr>
      <w:pgSz w:w="11906" w:h="16838" w:code="9"/>
      <w:pgMar w:top="567" w:right="1701" w:bottom="1134" w:left="1701"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3D6F5" w14:textId="77777777" w:rsidR="008433F9" w:rsidRPr="001924F4" w:rsidRDefault="008433F9" w:rsidP="0098410D">
      <w:r w:rsidRPr="001924F4">
        <w:separator/>
      </w:r>
    </w:p>
  </w:endnote>
  <w:endnote w:type="continuationSeparator" w:id="0">
    <w:p w14:paraId="1312A654" w14:textId="77777777" w:rsidR="008433F9" w:rsidRPr="001924F4" w:rsidRDefault="008433F9" w:rsidP="0098410D">
      <w:r w:rsidRPr="001924F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6417B" w14:textId="77777777" w:rsidR="008433F9" w:rsidRPr="001924F4" w:rsidRDefault="008433F9" w:rsidP="0098410D">
      <w:r w:rsidRPr="001924F4">
        <w:separator/>
      </w:r>
    </w:p>
  </w:footnote>
  <w:footnote w:type="continuationSeparator" w:id="0">
    <w:p w14:paraId="5077F621" w14:textId="77777777" w:rsidR="008433F9" w:rsidRPr="001924F4" w:rsidRDefault="008433F9" w:rsidP="0098410D">
      <w:r w:rsidRPr="001924F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5434" w14:textId="49A8F8F8" w:rsidR="00027D99" w:rsidRDefault="00027D99" w:rsidP="005F0FD6">
    <w:pPr>
      <w:pStyle w:val="JuHeader"/>
      <w:tabs>
        <w:tab w:val="center" w:pos="3685"/>
        <w:tab w:val="right" w:pos="7370"/>
      </w:tabs>
    </w:pPr>
    <w:r>
      <w:rPr>
        <w:noProof/>
      </w:rPr>
      <w:drawing>
        <wp:inline distT="0" distB="0" distL="0" distR="0" wp14:anchorId="64DB3C50" wp14:editId="3F42E850">
          <wp:extent cx="1257300" cy="62865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
                  <a:stretch>
                    <a:fillRect/>
                  </a:stretch>
                </pic:blipFill>
                <pic:spPr>
                  <a:xfrm>
                    <a:off x="0" y="0"/>
                    <a:ext cx="1282246" cy="641123"/>
                  </a:xfrm>
                  <a:prstGeom prst="rect">
                    <a:avLst/>
                  </a:prstGeom>
                </pic:spPr>
              </pic:pic>
            </a:graphicData>
          </a:graphic>
        </wp:inline>
      </w:drawing>
    </w:r>
  </w:p>
  <w:p w14:paraId="72643016" w14:textId="77777777" w:rsidR="00027D99" w:rsidRDefault="00027D99" w:rsidP="005F0FD6">
    <w:pPr>
      <w:pStyle w:val="JuHeader"/>
      <w:tabs>
        <w:tab w:val="center" w:pos="3685"/>
        <w:tab w:val="right" w:pos="7370"/>
      </w:tabs>
    </w:pPr>
  </w:p>
  <w:p w14:paraId="0E8B1320" w14:textId="77777777" w:rsidR="00BC7A19" w:rsidRPr="001C1A0A" w:rsidRDefault="00BC7A19" w:rsidP="00BC7A19">
    <w:pPr>
      <w:pStyle w:val="JuPara"/>
      <w:ind w:firstLine="0"/>
      <w:jc w:val="center"/>
      <w:rPr>
        <w:b/>
        <w:bCs/>
        <w:sz w:val="21"/>
        <w:szCs w:val="21"/>
        <w:lang w:val="uk-UA"/>
      </w:rPr>
    </w:pPr>
    <w:r w:rsidRPr="001C1A0A">
      <w:rPr>
        <w:b/>
        <w:bCs/>
        <w:sz w:val="21"/>
        <w:szCs w:val="21"/>
        <w:lang w:val="uk-UA"/>
      </w:rPr>
      <w:t xml:space="preserve">«R.B. v. </w:t>
    </w:r>
    <w:proofErr w:type="spellStart"/>
    <w:r w:rsidRPr="001C1A0A">
      <w:rPr>
        <w:b/>
        <w:bCs/>
        <w:sz w:val="21"/>
        <w:szCs w:val="21"/>
        <w:lang w:val="uk-UA"/>
      </w:rPr>
      <w:t>Estonia</w:t>
    </w:r>
    <w:proofErr w:type="spellEnd"/>
    <w:r w:rsidRPr="001C1A0A">
      <w:rPr>
        <w:b/>
        <w:bCs/>
        <w:sz w:val="21"/>
        <w:szCs w:val="21"/>
        <w:lang w:val="uk-UA"/>
      </w:rPr>
      <w:t xml:space="preserve">», </w:t>
    </w:r>
  </w:p>
  <w:p w14:paraId="08697BE9" w14:textId="77777777" w:rsidR="00BC7A19" w:rsidRPr="001C1A0A" w:rsidRDefault="00BC7A19" w:rsidP="00BC7A19">
    <w:pPr>
      <w:pStyle w:val="JuPara"/>
      <w:ind w:firstLine="0"/>
      <w:jc w:val="center"/>
      <w:rPr>
        <w:i/>
        <w:iCs/>
        <w:sz w:val="20"/>
        <w:szCs w:val="20"/>
        <w:lang w:val="uk-UA"/>
      </w:rPr>
    </w:pPr>
    <w:r w:rsidRPr="001C1A0A">
      <w:rPr>
        <w:i/>
        <w:iCs/>
        <w:sz w:val="20"/>
        <w:szCs w:val="20"/>
        <w:lang w:val="uk-UA"/>
      </w:rPr>
      <w:t xml:space="preserve">application № 22597/16, </w:t>
    </w:r>
  </w:p>
  <w:p w14:paraId="5FC5E091" w14:textId="428F340A" w:rsidR="005A1B77" w:rsidRDefault="00BC7A19" w:rsidP="00BC7A19">
    <w:pPr>
      <w:pStyle w:val="JuPara"/>
      <w:ind w:firstLine="0"/>
      <w:jc w:val="center"/>
      <w:rPr>
        <w:i/>
        <w:iCs/>
        <w:sz w:val="20"/>
        <w:szCs w:val="20"/>
        <w:lang w:val="uk-UA"/>
      </w:rPr>
    </w:pPr>
    <w:r w:rsidRPr="001C1A0A">
      <w:rPr>
        <w:i/>
        <w:iCs/>
        <w:sz w:val="20"/>
        <w:szCs w:val="20"/>
        <w:lang w:val="uk-UA"/>
      </w:rPr>
      <w:t>judgment 22.06.2021</w:t>
    </w:r>
  </w:p>
  <w:p w14:paraId="0ACC462B" w14:textId="77777777" w:rsidR="00A035AA" w:rsidRPr="001C1A0A" w:rsidRDefault="00A035AA" w:rsidP="00BC7A19">
    <w:pPr>
      <w:pStyle w:val="JuPara"/>
      <w:ind w:firstLine="0"/>
      <w:jc w:val="center"/>
      <w:rPr>
        <w:b/>
        <w:bCs/>
        <w:sz w:val="20"/>
        <w:szCs w:val="20"/>
        <w:lang w:val="uk-UA"/>
      </w:rPr>
    </w:pPr>
  </w:p>
  <w:p w14:paraId="04D7B5ED" w14:textId="77777777" w:rsidR="005A1B77" w:rsidRPr="00882CD5" w:rsidRDefault="005A1B77" w:rsidP="005F0FD6">
    <w:pPr>
      <w:pStyle w:val="JuHeader"/>
      <w:tabs>
        <w:tab w:val="center" w:pos="3685"/>
        <w:tab w:val="right" w:pos="73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a"/>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a1"/>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6D594DE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20"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20"/>
  </w:num>
  <w:num w:numId="2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pplicationsApp" w:val="1"/>
    <w:docVar w:name="EMM" w:val="0"/>
    <w:docVar w:name="NBEMMDOC" w:val="0"/>
  </w:docVars>
  <w:rsids>
    <w:rsidRoot w:val="001924F4"/>
    <w:rsid w:val="000041F8"/>
    <w:rsid w:val="000042A8"/>
    <w:rsid w:val="00004308"/>
    <w:rsid w:val="00005BF0"/>
    <w:rsid w:val="0000617D"/>
    <w:rsid w:val="00007154"/>
    <w:rsid w:val="000103AE"/>
    <w:rsid w:val="00011D69"/>
    <w:rsid w:val="00012AD3"/>
    <w:rsid w:val="00015C2D"/>
    <w:rsid w:val="00015F00"/>
    <w:rsid w:val="00022C1D"/>
    <w:rsid w:val="00027D99"/>
    <w:rsid w:val="0003030B"/>
    <w:rsid w:val="00031428"/>
    <w:rsid w:val="00031D4D"/>
    <w:rsid w:val="00034987"/>
    <w:rsid w:val="00041560"/>
    <w:rsid w:val="00045A1D"/>
    <w:rsid w:val="000602DF"/>
    <w:rsid w:val="00061B05"/>
    <w:rsid w:val="000632D5"/>
    <w:rsid w:val="000644EE"/>
    <w:rsid w:val="00067D2E"/>
    <w:rsid w:val="0007780A"/>
    <w:rsid w:val="00085457"/>
    <w:rsid w:val="00091694"/>
    <w:rsid w:val="000925AD"/>
    <w:rsid w:val="00096FE1"/>
    <w:rsid w:val="00097A62"/>
    <w:rsid w:val="000A24EB"/>
    <w:rsid w:val="000A6EE1"/>
    <w:rsid w:val="000B5A45"/>
    <w:rsid w:val="000B686A"/>
    <w:rsid w:val="000B6923"/>
    <w:rsid w:val="000B7195"/>
    <w:rsid w:val="000C2DDD"/>
    <w:rsid w:val="000C5F3C"/>
    <w:rsid w:val="000C6DCC"/>
    <w:rsid w:val="000D47AA"/>
    <w:rsid w:val="000D6A6B"/>
    <w:rsid w:val="000D721F"/>
    <w:rsid w:val="000E069B"/>
    <w:rsid w:val="000E0E82"/>
    <w:rsid w:val="000E1DC5"/>
    <w:rsid w:val="000E223F"/>
    <w:rsid w:val="000E46B8"/>
    <w:rsid w:val="000E7D45"/>
    <w:rsid w:val="000F45EC"/>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1318"/>
    <w:rsid w:val="001561B6"/>
    <w:rsid w:val="001617F8"/>
    <w:rsid w:val="00162A12"/>
    <w:rsid w:val="00166530"/>
    <w:rsid w:val="00170027"/>
    <w:rsid w:val="001729D4"/>
    <w:rsid w:val="001832BD"/>
    <w:rsid w:val="001924F4"/>
    <w:rsid w:val="001943B5"/>
    <w:rsid w:val="00195134"/>
    <w:rsid w:val="00197A94"/>
    <w:rsid w:val="001A145B"/>
    <w:rsid w:val="001A3E09"/>
    <w:rsid w:val="001A674C"/>
    <w:rsid w:val="001B3B24"/>
    <w:rsid w:val="001C055B"/>
    <w:rsid w:val="001C0F98"/>
    <w:rsid w:val="001C1A0A"/>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0906"/>
    <w:rsid w:val="002115FC"/>
    <w:rsid w:val="0021423C"/>
    <w:rsid w:val="00215AF9"/>
    <w:rsid w:val="00217384"/>
    <w:rsid w:val="00222DB2"/>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5708D"/>
    <w:rsid w:val="00260C03"/>
    <w:rsid w:val="0026540E"/>
    <w:rsid w:val="00267CCE"/>
    <w:rsid w:val="00275123"/>
    <w:rsid w:val="002770C7"/>
    <w:rsid w:val="00282240"/>
    <w:rsid w:val="00287AD5"/>
    <w:rsid w:val="002934D0"/>
    <w:rsid w:val="00293676"/>
    <w:rsid w:val="00293BD9"/>
    <w:rsid w:val="002948AD"/>
    <w:rsid w:val="002A01CC"/>
    <w:rsid w:val="002A613A"/>
    <w:rsid w:val="002A61B1"/>
    <w:rsid w:val="002A663C"/>
    <w:rsid w:val="002B2551"/>
    <w:rsid w:val="002B444B"/>
    <w:rsid w:val="002B5887"/>
    <w:rsid w:val="002C0E27"/>
    <w:rsid w:val="002C3040"/>
    <w:rsid w:val="002C4433"/>
    <w:rsid w:val="002C7826"/>
    <w:rsid w:val="002D022D"/>
    <w:rsid w:val="002D24BB"/>
    <w:rsid w:val="002D2FA7"/>
    <w:rsid w:val="002D47BA"/>
    <w:rsid w:val="002D5414"/>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5014"/>
    <w:rsid w:val="00335F4B"/>
    <w:rsid w:val="00337EE4"/>
    <w:rsid w:val="00340FFD"/>
    <w:rsid w:val="00341B83"/>
    <w:rsid w:val="00345C41"/>
    <w:rsid w:val="003506B1"/>
    <w:rsid w:val="00355877"/>
    <w:rsid w:val="00356AC7"/>
    <w:rsid w:val="003609FA"/>
    <w:rsid w:val="003710C8"/>
    <w:rsid w:val="003750BE"/>
    <w:rsid w:val="003755B1"/>
    <w:rsid w:val="00380D16"/>
    <w:rsid w:val="00385A36"/>
    <w:rsid w:val="00385F3D"/>
    <w:rsid w:val="00387B9D"/>
    <w:rsid w:val="00387C70"/>
    <w:rsid w:val="00390294"/>
    <w:rsid w:val="0039032E"/>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95E"/>
    <w:rsid w:val="00414F27"/>
    <w:rsid w:val="00416387"/>
    <w:rsid w:val="00420703"/>
    <w:rsid w:val="004238C6"/>
    <w:rsid w:val="00425C67"/>
    <w:rsid w:val="00427E7A"/>
    <w:rsid w:val="004353E6"/>
    <w:rsid w:val="004355AC"/>
    <w:rsid w:val="00436C49"/>
    <w:rsid w:val="00443D98"/>
    <w:rsid w:val="00445366"/>
    <w:rsid w:val="00447034"/>
    <w:rsid w:val="00447F5B"/>
    <w:rsid w:val="00461DB0"/>
    <w:rsid w:val="00463926"/>
    <w:rsid w:val="00464C9A"/>
    <w:rsid w:val="00474F3D"/>
    <w:rsid w:val="00476574"/>
    <w:rsid w:val="00477E3A"/>
    <w:rsid w:val="00483E5F"/>
    <w:rsid w:val="00485FF9"/>
    <w:rsid w:val="004907F0"/>
    <w:rsid w:val="0049140B"/>
    <w:rsid w:val="004923A5"/>
    <w:rsid w:val="0049310E"/>
    <w:rsid w:val="004950E2"/>
    <w:rsid w:val="00496BFB"/>
    <w:rsid w:val="004A15C7"/>
    <w:rsid w:val="004A3201"/>
    <w:rsid w:val="004A64BB"/>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E1F39"/>
    <w:rsid w:val="004F10AF"/>
    <w:rsid w:val="004F11A4"/>
    <w:rsid w:val="004F2389"/>
    <w:rsid w:val="004F304D"/>
    <w:rsid w:val="004F4290"/>
    <w:rsid w:val="004F61BE"/>
    <w:rsid w:val="004F66B1"/>
    <w:rsid w:val="00510A97"/>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4AFC"/>
    <w:rsid w:val="005578CE"/>
    <w:rsid w:val="00562781"/>
    <w:rsid w:val="00562B6C"/>
    <w:rsid w:val="0057271C"/>
    <w:rsid w:val="00572845"/>
    <w:rsid w:val="005879A2"/>
    <w:rsid w:val="00591637"/>
    <w:rsid w:val="00592772"/>
    <w:rsid w:val="0059574A"/>
    <w:rsid w:val="005A1B77"/>
    <w:rsid w:val="005A1B9B"/>
    <w:rsid w:val="005A2E79"/>
    <w:rsid w:val="005A41AB"/>
    <w:rsid w:val="005A6751"/>
    <w:rsid w:val="005B092E"/>
    <w:rsid w:val="005B152C"/>
    <w:rsid w:val="005B1EE0"/>
    <w:rsid w:val="005B2B24"/>
    <w:rsid w:val="005B4425"/>
    <w:rsid w:val="005B4B94"/>
    <w:rsid w:val="005C0C1E"/>
    <w:rsid w:val="005C3EE8"/>
    <w:rsid w:val="005D2F2A"/>
    <w:rsid w:val="005D34F9"/>
    <w:rsid w:val="005D4190"/>
    <w:rsid w:val="005D67A3"/>
    <w:rsid w:val="005E2988"/>
    <w:rsid w:val="005E3085"/>
    <w:rsid w:val="005F0EB3"/>
    <w:rsid w:val="005F0FD6"/>
    <w:rsid w:val="005F51E1"/>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94D48"/>
    <w:rsid w:val="006A037C"/>
    <w:rsid w:val="006A36F4"/>
    <w:rsid w:val="006A406F"/>
    <w:rsid w:val="006A5D3A"/>
    <w:rsid w:val="006B00BB"/>
    <w:rsid w:val="006C23D4"/>
    <w:rsid w:val="006C7BB0"/>
    <w:rsid w:val="006D1545"/>
    <w:rsid w:val="006D3237"/>
    <w:rsid w:val="006E2E37"/>
    <w:rsid w:val="006E3CF1"/>
    <w:rsid w:val="006E68A3"/>
    <w:rsid w:val="006E7E80"/>
    <w:rsid w:val="006F1C2D"/>
    <w:rsid w:val="006F48CA"/>
    <w:rsid w:val="006F64DD"/>
    <w:rsid w:val="006F712D"/>
    <w:rsid w:val="006F75BF"/>
    <w:rsid w:val="00715127"/>
    <w:rsid w:val="00715C09"/>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365E"/>
    <w:rsid w:val="007850EE"/>
    <w:rsid w:val="00785B95"/>
    <w:rsid w:val="00790E96"/>
    <w:rsid w:val="00791109"/>
    <w:rsid w:val="00793366"/>
    <w:rsid w:val="007A716F"/>
    <w:rsid w:val="007B270A"/>
    <w:rsid w:val="007B4182"/>
    <w:rsid w:val="007C0695"/>
    <w:rsid w:val="007C419A"/>
    <w:rsid w:val="007C4CC8"/>
    <w:rsid w:val="007C5426"/>
    <w:rsid w:val="007C5798"/>
    <w:rsid w:val="007D1ECD"/>
    <w:rsid w:val="007D3701"/>
    <w:rsid w:val="007D45F8"/>
    <w:rsid w:val="007D4832"/>
    <w:rsid w:val="007E21B2"/>
    <w:rsid w:val="007E2C4E"/>
    <w:rsid w:val="007E2C8C"/>
    <w:rsid w:val="007E51BA"/>
    <w:rsid w:val="007E73D7"/>
    <w:rsid w:val="007F1905"/>
    <w:rsid w:val="007F27E4"/>
    <w:rsid w:val="007F3437"/>
    <w:rsid w:val="00802C64"/>
    <w:rsid w:val="00804E48"/>
    <w:rsid w:val="00805E52"/>
    <w:rsid w:val="008061D0"/>
    <w:rsid w:val="00810B38"/>
    <w:rsid w:val="00810FAE"/>
    <w:rsid w:val="008204C7"/>
    <w:rsid w:val="00820992"/>
    <w:rsid w:val="008222CF"/>
    <w:rsid w:val="00823602"/>
    <w:rsid w:val="00823A8C"/>
    <w:rsid w:val="008255F5"/>
    <w:rsid w:val="0083014E"/>
    <w:rsid w:val="0083214A"/>
    <w:rsid w:val="00834220"/>
    <w:rsid w:val="00834381"/>
    <w:rsid w:val="008433F9"/>
    <w:rsid w:val="00845723"/>
    <w:rsid w:val="008519E7"/>
    <w:rsid w:val="00851EF9"/>
    <w:rsid w:val="008577FD"/>
    <w:rsid w:val="00860B03"/>
    <w:rsid w:val="0086497A"/>
    <w:rsid w:val="00867066"/>
    <w:rsid w:val="008713A1"/>
    <w:rsid w:val="00872584"/>
    <w:rsid w:val="008754AB"/>
    <w:rsid w:val="0088060C"/>
    <w:rsid w:val="00882CD5"/>
    <w:rsid w:val="00883151"/>
    <w:rsid w:val="008918CD"/>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58C4"/>
    <w:rsid w:val="008F6B36"/>
    <w:rsid w:val="008F7A60"/>
    <w:rsid w:val="009013A7"/>
    <w:rsid w:val="009017FB"/>
    <w:rsid w:val="009017FC"/>
    <w:rsid w:val="0090506B"/>
    <w:rsid w:val="009050C9"/>
    <w:rsid w:val="009066FC"/>
    <w:rsid w:val="009140A3"/>
    <w:rsid w:val="009144A2"/>
    <w:rsid w:val="0091510C"/>
    <w:rsid w:val="009259AC"/>
    <w:rsid w:val="00926F38"/>
    <w:rsid w:val="00927BEB"/>
    <w:rsid w:val="00927E55"/>
    <w:rsid w:val="009333DC"/>
    <w:rsid w:val="00934301"/>
    <w:rsid w:val="00936CD1"/>
    <w:rsid w:val="009371BD"/>
    <w:rsid w:val="00941747"/>
    <w:rsid w:val="00941EFB"/>
    <w:rsid w:val="00947AFB"/>
    <w:rsid w:val="009519E6"/>
    <w:rsid w:val="00951AA3"/>
    <w:rsid w:val="00951D7D"/>
    <w:rsid w:val="00956D0C"/>
    <w:rsid w:val="009630C7"/>
    <w:rsid w:val="00972B55"/>
    <w:rsid w:val="009743B7"/>
    <w:rsid w:val="0098228B"/>
    <w:rsid w:val="009828DA"/>
    <w:rsid w:val="0098410D"/>
    <w:rsid w:val="00985BAB"/>
    <w:rsid w:val="00986B3C"/>
    <w:rsid w:val="00987040"/>
    <w:rsid w:val="00987619"/>
    <w:rsid w:val="009A115C"/>
    <w:rsid w:val="009A25CA"/>
    <w:rsid w:val="009B1606"/>
    <w:rsid w:val="009B1655"/>
    <w:rsid w:val="009B1B5F"/>
    <w:rsid w:val="009B6673"/>
    <w:rsid w:val="009C11D4"/>
    <w:rsid w:val="009C191B"/>
    <w:rsid w:val="009C2BD6"/>
    <w:rsid w:val="009E1F32"/>
    <w:rsid w:val="009E2CC2"/>
    <w:rsid w:val="009E47A2"/>
    <w:rsid w:val="009E776C"/>
    <w:rsid w:val="009E7A6F"/>
    <w:rsid w:val="009F4C8F"/>
    <w:rsid w:val="00A035AA"/>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51D0F"/>
    <w:rsid w:val="00A54192"/>
    <w:rsid w:val="00A57147"/>
    <w:rsid w:val="00A6035E"/>
    <w:rsid w:val="00A6144C"/>
    <w:rsid w:val="00A66617"/>
    <w:rsid w:val="00A67063"/>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D51B2"/>
    <w:rsid w:val="00AE0A2E"/>
    <w:rsid w:val="00AE354C"/>
    <w:rsid w:val="00AF4B07"/>
    <w:rsid w:val="00AF6186"/>
    <w:rsid w:val="00AF7A3A"/>
    <w:rsid w:val="00B02587"/>
    <w:rsid w:val="00B115FD"/>
    <w:rsid w:val="00B14DD6"/>
    <w:rsid w:val="00B160DB"/>
    <w:rsid w:val="00B20836"/>
    <w:rsid w:val="00B235BB"/>
    <w:rsid w:val="00B27A44"/>
    <w:rsid w:val="00B30BBF"/>
    <w:rsid w:val="00B33C03"/>
    <w:rsid w:val="00B44204"/>
    <w:rsid w:val="00B4421F"/>
    <w:rsid w:val="00B44E56"/>
    <w:rsid w:val="00B45917"/>
    <w:rsid w:val="00B46543"/>
    <w:rsid w:val="00B47D33"/>
    <w:rsid w:val="00B52BE0"/>
    <w:rsid w:val="00B54133"/>
    <w:rsid w:val="00B54393"/>
    <w:rsid w:val="00B701ED"/>
    <w:rsid w:val="00B73346"/>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C7A19"/>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3A1"/>
    <w:rsid w:val="00C53F4A"/>
    <w:rsid w:val="00C54125"/>
    <w:rsid w:val="00C55B54"/>
    <w:rsid w:val="00C6098E"/>
    <w:rsid w:val="00C6152C"/>
    <w:rsid w:val="00C65704"/>
    <w:rsid w:val="00C74810"/>
    <w:rsid w:val="00C90D68"/>
    <w:rsid w:val="00C939FE"/>
    <w:rsid w:val="00CA4BDA"/>
    <w:rsid w:val="00CB13E3"/>
    <w:rsid w:val="00CB1F66"/>
    <w:rsid w:val="00CB232C"/>
    <w:rsid w:val="00CB2951"/>
    <w:rsid w:val="00CB4277"/>
    <w:rsid w:val="00CC34BF"/>
    <w:rsid w:val="00CC5067"/>
    <w:rsid w:val="00CC508A"/>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3132"/>
    <w:rsid w:val="00D15ED0"/>
    <w:rsid w:val="00D164BF"/>
    <w:rsid w:val="00D21B3E"/>
    <w:rsid w:val="00D21FED"/>
    <w:rsid w:val="00D23048"/>
    <w:rsid w:val="00D24251"/>
    <w:rsid w:val="00D26E72"/>
    <w:rsid w:val="00D343E2"/>
    <w:rsid w:val="00D3519A"/>
    <w:rsid w:val="00D361A2"/>
    <w:rsid w:val="00D37272"/>
    <w:rsid w:val="00D44C2E"/>
    <w:rsid w:val="00D45414"/>
    <w:rsid w:val="00D50A0A"/>
    <w:rsid w:val="00D53548"/>
    <w:rsid w:val="00D566BD"/>
    <w:rsid w:val="00D57A4D"/>
    <w:rsid w:val="00D57BFB"/>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DF6786"/>
    <w:rsid w:val="00E004C0"/>
    <w:rsid w:val="00E02C09"/>
    <w:rsid w:val="00E04D59"/>
    <w:rsid w:val="00E07DA1"/>
    <w:rsid w:val="00E123CB"/>
    <w:rsid w:val="00E13B09"/>
    <w:rsid w:val="00E20E13"/>
    <w:rsid w:val="00E21D54"/>
    <w:rsid w:val="00E21DBC"/>
    <w:rsid w:val="00E275D7"/>
    <w:rsid w:val="00E27DBE"/>
    <w:rsid w:val="00E27E84"/>
    <w:rsid w:val="00E32AB1"/>
    <w:rsid w:val="00E36C71"/>
    <w:rsid w:val="00E40404"/>
    <w:rsid w:val="00E4126A"/>
    <w:rsid w:val="00E42A06"/>
    <w:rsid w:val="00E459C6"/>
    <w:rsid w:val="00E47589"/>
    <w:rsid w:val="00E62A1F"/>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053B"/>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2C12"/>
    <w:rsid w:val="00F35B7A"/>
    <w:rsid w:val="00F562FA"/>
    <w:rsid w:val="00F56A6F"/>
    <w:rsid w:val="00F5709C"/>
    <w:rsid w:val="00F60B85"/>
    <w:rsid w:val="00F6163E"/>
    <w:rsid w:val="00F64EF1"/>
    <w:rsid w:val="00F72B14"/>
    <w:rsid w:val="00F7349B"/>
    <w:rsid w:val="00F73F91"/>
    <w:rsid w:val="00F8765F"/>
    <w:rsid w:val="00F90767"/>
    <w:rsid w:val="00F9263C"/>
    <w:rsid w:val="00FA1637"/>
    <w:rsid w:val="00FA1BFC"/>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BF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semiHidden/>
    <w:rsid w:val="00E21D54"/>
    <w:rPr>
      <w:sz w:val="24"/>
      <w:szCs w:val="24"/>
      <w:lang w:val="en-GB"/>
    </w:rPr>
  </w:style>
  <w:style w:type="paragraph" w:styleId="1">
    <w:name w:val="heading 1"/>
    <w:basedOn w:val="a2"/>
    <w:next w:val="a2"/>
    <w:link w:val="10"/>
    <w:uiPriority w:val="98"/>
    <w:rsid w:val="00E21D54"/>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8"/>
    <w:semiHidden/>
    <w:rsid w:val="00E21D54"/>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8"/>
    <w:semiHidden/>
    <w:rsid w:val="00E21D54"/>
    <w:pPr>
      <w:spacing w:before="200" w:line="271" w:lineRule="auto"/>
      <w:outlineLvl w:val="2"/>
    </w:pPr>
    <w:rPr>
      <w:rFonts w:asciiTheme="majorHAnsi" w:eastAsiaTheme="majorEastAsia" w:hAnsiTheme="majorHAnsi" w:cstheme="majorBidi"/>
      <w:b/>
      <w:bCs/>
      <w:color w:val="5F5F5F"/>
      <w:sz w:val="22"/>
      <w:szCs w:val="22"/>
    </w:rPr>
  </w:style>
  <w:style w:type="paragraph" w:styleId="41">
    <w:name w:val="heading 4"/>
    <w:basedOn w:val="a2"/>
    <w:next w:val="a2"/>
    <w:link w:val="42"/>
    <w:uiPriority w:val="98"/>
    <w:semiHidden/>
    <w:rsid w:val="00E21D54"/>
    <w:pPr>
      <w:spacing w:before="200"/>
      <w:outlineLvl w:val="3"/>
    </w:pPr>
    <w:rPr>
      <w:rFonts w:asciiTheme="majorHAnsi" w:eastAsiaTheme="majorEastAsia" w:hAnsiTheme="majorHAnsi" w:cstheme="majorBidi"/>
      <w:b/>
      <w:bCs/>
      <w:i/>
      <w:iCs/>
      <w:color w:val="777777"/>
      <w:sz w:val="22"/>
      <w:szCs w:val="22"/>
    </w:rPr>
  </w:style>
  <w:style w:type="paragraph" w:styleId="51">
    <w:name w:val="heading 5"/>
    <w:basedOn w:val="a2"/>
    <w:next w:val="a2"/>
    <w:link w:val="52"/>
    <w:uiPriority w:val="98"/>
    <w:semiHidden/>
    <w:qFormat/>
    <w:rsid w:val="00E21D54"/>
    <w:pPr>
      <w:spacing w:before="200"/>
      <w:outlineLvl w:val="4"/>
    </w:pPr>
    <w:rPr>
      <w:rFonts w:asciiTheme="majorHAnsi" w:eastAsiaTheme="majorEastAsia" w:hAnsiTheme="majorHAnsi" w:cstheme="majorBidi"/>
      <w:b/>
      <w:bCs/>
      <w:color w:val="808080"/>
      <w:sz w:val="22"/>
      <w:szCs w:val="22"/>
    </w:rPr>
  </w:style>
  <w:style w:type="paragraph" w:styleId="6">
    <w:name w:val="heading 6"/>
    <w:basedOn w:val="a2"/>
    <w:next w:val="a2"/>
    <w:link w:val="60"/>
    <w:uiPriority w:val="98"/>
    <w:semiHidden/>
    <w:rsid w:val="00E21D54"/>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7">
    <w:name w:val="heading 7"/>
    <w:basedOn w:val="a2"/>
    <w:next w:val="a2"/>
    <w:link w:val="70"/>
    <w:uiPriority w:val="98"/>
    <w:semiHidden/>
    <w:qFormat/>
    <w:rsid w:val="00E21D54"/>
    <w:pPr>
      <w:outlineLvl w:val="6"/>
    </w:pPr>
    <w:rPr>
      <w:rFonts w:asciiTheme="majorHAnsi" w:eastAsiaTheme="majorEastAsia" w:hAnsiTheme="majorHAnsi" w:cstheme="majorBidi"/>
      <w:i/>
      <w:iCs/>
      <w:sz w:val="22"/>
      <w:szCs w:val="22"/>
      <w:lang w:bidi="en-US"/>
    </w:rPr>
  </w:style>
  <w:style w:type="paragraph" w:styleId="8">
    <w:name w:val="heading 8"/>
    <w:basedOn w:val="a2"/>
    <w:next w:val="a2"/>
    <w:link w:val="80"/>
    <w:uiPriority w:val="98"/>
    <w:semiHidden/>
    <w:qFormat/>
    <w:rsid w:val="00E21D54"/>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8"/>
    <w:semiHidden/>
    <w:qFormat/>
    <w:rsid w:val="00E21D54"/>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8"/>
    <w:semiHidden/>
    <w:rsid w:val="00E21D54"/>
    <w:rPr>
      <w:rFonts w:ascii="Tahoma" w:hAnsi="Tahoma" w:cs="Tahoma"/>
      <w:sz w:val="16"/>
      <w:szCs w:val="16"/>
    </w:rPr>
  </w:style>
  <w:style w:type="character" w:customStyle="1" w:styleId="a7">
    <w:name w:val="Текст выноски Знак"/>
    <w:basedOn w:val="a3"/>
    <w:link w:val="a6"/>
    <w:uiPriority w:val="98"/>
    <w:semiHidden/>
    <w:rsid w:val="00E21D54"/>
    <w:rPr>
      <w:rFonts w:ascii="Tahoma" w:hAnsi="Tahoma" w:cs="Tahoma"/>
      <w:sz w:val="16"/>
      <w:szCs w:val="16"/>
      <w:lang w:val="en-GB"/>
    </w:rPr>
  </w:style>
  <w:style w:type="character" w:styleId="a8">
    <w:name w:val="Book Title"/>
    <w:uiPriority w:val="98"/>
    <w:qFormat/>
    <w:rsid w:val="00E21D54"/>
    <w:rPr>
      <w:i/>
      <w:iCs/>
      <w:smallCaps/>
      <w:spacing w:val="5"/>
    </w:rPr>
  </w:style>
  <w:style w:type="paragraph" w:customStyle="1" w:styleId="JuHeader">
    <w:name w:val="Ju_Header"/>
    <w:aliases w:val="_Header"/>
    <w:basedOn w:val="a9"/>
    <w:uiPriority w:val="29"/>
    <w:qFormat/>
    <w:rsid w:val="00E21D54"/>
    <w:pPr>
      <w:tabs>
        <w:tab w:val="clear" w:pos="4536"/>
        <w:tab w:val="clear" w:pos="9072"/>
      </w:tabs>
      <w:jc w:val="center"/>
    </w:pPr>
    <w:rPr>
      <w:sz w:val="18"/>
    </w:rPr>
  </w:style>
  <w:style w:type="paragraph" w:customStyle="1" w:styleId="NormalJustified">
    <w:name w:val="Normal_Justified"/>
    <w:basedOn w:val="a2"/>
    <w:semiHidden/>
    <w:rsid w:val="00E21D54"/>
    <w:pPr>
      <w:jc w:val="both"/>
    </w:pPr>
  </w:style>
  <w:style w:type="character" w:styleId="aa">
    <w:name w:val="Strong"/>
    <w:uiPriority w:val="98"/>
    <w:qFormat/>
    <w:rsid w:val="00E21D54"/>
    <w:rPr>
      <w:b/>
      <w:bCs/>
    </w:rPr>
  </w:style>
  <w:style w:type="paragraph" w:styleId="ab">
    <w:name w:val="No Spacing"/>
    <w:basedOn w:val="a2"/>
    <w:link w:val="ac"/>
    <w:uiPriority w:val="98"/>
    <w:qFormat/>
    <w:rsid w:val="00E21D54"/>
  </w:style>
  <w:style w:type="character" w:customStyle="1" w:styleId="ac">
    <w:name w:val="Без интервала Знак"/>
    <w:basedOn w:val="a3"/>
    <w:link w:val="ab"/>
    <w:uiPriority w:val="98"/>
    <w:rsid w:val="00E21D54"/>
    <w:rPr>
      <w:sz w:val="24"/>
      <w:szCs w:val="24"/>
      <w:lang w:val="en-GB"/>
    </w:rPr>
  </w:style>
  <w:style w:type="paragraph" w:customStyle="1" w:styleId="JuQuot">
    <w:name w:val="Ju_Quot"/>
    <w:aliases w:val="_Quote"/>
    <w:basedOn w:val="NormalJustified"/>
    <w:link w:val="JuQuotChar"/>
    <w:uiPriority w:val="20"/>
    <w:qFormat/>
    <w:rsid w:val="00E21D54"/>
    <w:pPr>
      <w:spacing w:before="120" w:after="120"/>
      <w:ind w:left="425" w:firstLine="142"/>
    </w:pPr>
    <w:rPr>
      <w:sz w:val="20"/>
    </w:rPr>
  </w:style>
  <w:style w:type="paragraph" w:customStyle="1" w:styleId="DummyStyle">
    <w:name w:val="Dummy_Style"/>
    <w:aliases w:val="_Dummy"/>
    <w:basedOn w:val="a2"/>
    <w:semiHidden/>
    <w:qFormat/>
    <w:rsid w:val="00E21D54"/>
    <w:rPr>
      <w:color w:val="00B050"/>
      <w:sz w:val="22"/>
    </w:rPr>
  </w:style>
  <w:style w:type="paragraph" w:customStyle="1" w:styleId="JuList">
    <w:name w:val="Ju_List"/>
    <w:aliases w:val="_List_1"/>
    <w:basedOn w:val="NormalJustified"/>
    <w:uiPriority w:val="23"/>
    <w:qFormat/>
    <w:rsid w:val="00E21D54"/>
    <w:pPr>
      <w:numPr>
        <w:numId w:val="10"/>
      </w:numPr>
      <w:spacing w:before="280" w:after="60"/>
    </w:pPr>
  </w:style>
  <w:style w:type="paragraph" w:customStyle="1" w:styleId="JuLista">
    <w:name w:val="Ju_List_a"/>
    <w:aliases w:val="_List_2"/>
    <w:basedOn w:val="NormalJustified"/>
    <w:uiPriority w:val="23"/>
    <w:rsid w:val="00E21D54"/>
    <w:pPr>
      <w:numPr>
        <w:ilvl w:val="1"/>
        <w:numId w:val="10"/>
      </w:numPr>
    </w:pPr>
  </w:style>
  <w:style w:type="paragraph" w:customStyle="1" w:styleId="JuListi">
    <w:name w:val="Ju_List_i"/>
    <w:aliases w:val="_List_3"/>
    <w:basedOn w:val="NormalJustified"/>
    <w:uiPriority w:val="23"/>
    <w:rsid w:val="00E21D54"/>
    <w:pPr>
      <w:numPr>
        <w:ilvl w:val="2"/>
        <w:numId w:val="10"/>
      </w:numPr>
    </w:pPr>
  </w:style>
  <w:style w:type="paragraph" w:customStyle="1" w:styleId="JuHArticle">
    <w:name w:val="Ju_H_Article"/>
    <w:aliases w:val="_Title_Quote"/>
    <w:basedOn w:val="a2"/>
    <w:next w:val="JuQuot"/>
    <w:uiPriority w:val="19"/>
    <w:qFormat/>
    <w:rsid w:val="00E21D54"/>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E21D54"/>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E21D54"/>
    <w:pPr>
      <w:keepNext/>
      <w:keepLines/>
      <w:tabs>
        <w:tab w:val="right" w:pos="7938"/>
      </w:tabs>
      <w:ind w:firstLine="0"/>
      <w:jc w:val="center"/>
    </w:pPr>
    <w:rPr>
      <w:i/>
    </w:rPr>
  </w:style>
  <w:style w:type="paragraph" w:customStyle="1" w:styleId="JuHHead">
    <w:name w:val="Ju_H_Head"/>
    <w:aliases w:val="_Head_1"/>
    <w:basedOn w:val="1"/>
    <w:next w:val="JuPara"/>
    <w:uiPriority w:val="17"/>
    <w:qFormat/>
    <w:rsid w:val="00E21D54"/>
    <w:pPr>
      <w:keepNext/>
      <w:keepLines/>
      <w:numPr>
        <w:numId w:val="9"/>
      </w:numPr>
      <w:spacing w:before="100" w:beforeAutospacing="1" w:after="240"/>
      <w:contextualSpacing w:val="0"/>
      <w:jc w:val="both"/>
    </w:pPr>
    <w:rPr>
      <w:b w:val="0"/>
      <w:caps/>
      <w:color w:val="auto"/>
    </w:rPr>
  </w:style>
  <w:style w:type="numbering" w:customStyle="1" w:styleId="ECHRA1StyleBulletedSquare">
    <w:name w:val="ECHR_A1_Style_Bulleted_Square"/>
    <w:basedOn w:val="a5"/>
    <w:rsid w:val="00E21D54"/>
    <w:pPr>
      <w:numPr>
        <w:numId w:val="4"/>
      </w:numPr>
    </w:pPr>
  </w:style>
  <w:style w:type="paragraph" w:customStyle="1" w:styleId="JuSigned">
    <w:name w:val="Ju_Signed"/>
    <w:aliases w:val="_Signature"/>
    <w:basedOn w:val="a2"/>
    <w:next w:val="JuPara"/>
    <w:uiPriority w:val="31"/>
    <w:qFormat/>
    <w:rsid w:val="00E21D54"/>
    <w:pPr>
      <w:tabs>
        <w:tab w:val="center" w:pos="851"/>
        <w:tab w:val="center" w:pos="6407"/>
      </w:tabs>
      <w:spacing w:before="720"/>
    </w:pPr>
  </w:style>
  <w:style w:type="paragraph" w:styleId="ad">
    <w:name w:val="Title"/>
    <w:basedOn w:val="a2"/>
    <w:next w:val="a2"/>
    <w:link w:val="ae"/>
    <w:uiPriority w:val="98"/>
    <w:qFormat/>
    <w:rsid w:val="00E21D5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e">
    <w:name w:val="Заголовок Знак"/>
    <w:basedOn w:val="a3"/>
    <w:link w:val="ad"/>
    <w:uiPriority w:val="98"/>
    <w:rsid w:val="00E21D54"/>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a5"/>
    <w:uiPriority w:val="99"/>
    <w:rsid w:val="00E21D54"/>
    <w:pPr>
      <w:numPr>
        <w:numId w:val="5"/>
      </w:numPr>
    </w:pPr>
  </w:style>
  <w:style w:type="numbering" w:customStyle="1" w:styleId="ECHRA1StyleNumberedList">
    <w:name w:val="ECHR_A1_Style_Numbered_List"/>
    <w:basedOn w:val="a5"/>
    <w:rsid w:val="00E21D54"/>
    <w:pPr>
      <w:numPr>
        <w:numId w:val="6"/>
      </w:numPr>
    </w:pPr>
  </w:style>
  <w:style w:type="table" w:customStyle="1" w:styleId="ECHRTable2019">
    <w:name w:val="ECHR_Table_2019"/>
    <w:basedOn w:val="a4"/>
    <w:uiPriority w:val="99"/>
    <w:rsid w:val="00E21D5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af"/>
    <w:uiPriority w:val="57"/>
    <w:semiHidden/>
    <w:rsid w:val="007D3701"/>
    <w:rPr>
      <w:sz w:val="8"/>
    </w:rPr>
  </w:style>
  <w:style w:type="paragraph" w:customStyle="1" w:styleId="JuCourt">
    <w:name w:val="Ju_Court"/>
    <w:aliases w:val="_Court_Names"/>
    <w:basedOn w:val="a2"/>
    <w:next w:val="a2"/>
    <w:uiPriority w:val="32"/>
    <w:qFormat/>
    <w:rsid w:val="00E21D54"/>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21"/>
    <w:next w:val="JuPara"/>
    <w:uiPriority w:val="17"/>
    <w:qFormat/>
    <w:rsid w:val="00E21D54"/>
    <w:pPr>
      <w:keepNext/>
      <w:keepLines/>
      <w:numPr>
        <w:ilvl w:val="1"/>
        <w:numId w:val="9"/>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31"/>
    <w:next w:val="JuPara"/>
    <w:uiPriority w:val="17"/>
    <w:qFormat/>
    <w:rsid w:val="00E21D54"/>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41"/>
    <w:next w:val="JuPara"/>
    <w:uiPriority w:val="17"/>
    <w:rsid w:val="00E21D54"/>
    <w:pPr>
      <w:keepNext/>
      <w:keepLines/>
      <w:numPr>
        <w:ilvl w:val="3"/>
        <w:numId w:val="9"/>
      </w:numPr>
      <w:spacing w:before="100" w:beforeAutospacing="1" w:after="120"/>
      <w:jc w:val="both"/>
    </w:pPr>
    <w:rPr>
      <w:b w:val="0"/>
      <w:color w:val="auto"/>
      <w:sz w:val="24"/>
    </w:rPr>
  </w:style>
  <w:style w:type="paragraph" w:styleId="a9">
    <w:name w:val="header"/>
    <w:basedOn w:val="a2"/>
    <w:link w:val="af0"/>
    <w:uiPriority w:val="98"/>
    <w:semiHidden/>
    <w:rsid w:val="00E21D54"/>
    <w:pPr>
      <w:tabs>
        <w:tab w:val="center" w:pos="4536"/>
        <w:tab w:val="right" w:pos="9072"/>
      </w:tabs>
    </w:pPr>
  </w:style>
  <w:style w:type="character" w:customStyle="1" w:styleId="af0">
    <w:name w:val="Верхний колонтитул Знак"/>
    <w:basedOn w:val="a3"/>
    <w:link w:val="a9"/>
    <w:uiPriority w:val="98"/>
    <w:semiHidden/>
    <w:rsid w:val="00E21D54"/>
    <w:rPr>
      <w:sz w:val="24"/>
      <w:szCs w:val="24"/>
      <w:lang w:val="en-GB"/>
    </w:rPr>
  </w:style>
  <w:style w:type="character" w:customStyle="1" w:styleId="10">
    <w:name w:val="Заголовок 1 Знак"/>
    <w:basedOn w:val="a3"/>
    <w:link w:val="1"/>
    <w:uiPriority w:val="98"/>
    <w:rsid w:val="00E21D54"/>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51"/>
    <w:next w:val="JuPara"/>
    <w:uiPriority w:val="17"/>
    <w:rsid w:val="00E21D54"/>
    <w:pPr>
      <w:keepNext/>
      <w:keepLines/>
      <w:numPr>
        <w:ilvl w:val="4"/>
        <w:numId w:val="9"/>
      </w:numPr>
      <w:spacing w:before="100" w:beforeAutospacing="1" w:after="120"/>
      <w:jc w:val="both"/>
    </w:pPr>
    <w:rPr>
      <w:color w:val="auto"/>
      <w:sz w:val="20"/>
    </w:rPr>
  </w:style>
  <w:style w:type="paragraph" w:customStyle="1" w:styleId="JuHi">
    <w:name w:val="Ju_H_i"/>
    <w:aliases w:val="_Head_6"/>
    <w:basedOn w:val="6"/>
    <w:next w:val="JuPara"/>
    <w:uiPriority w:val="17"/>
    <w:rsid w:val="00E21D54"/>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22">
    <w:name w:val="Заголовок 2 Знак"/>
    <w:basedOn w:val="a3"/>
    <w:link w:val="21"/>
    <w:uiPriority w:val="98"/>
    <w:semiHidden/>
    <w:rsid w:val="00E21D54"/>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7"/>
    <w:next w:val="JuPara"/>
    <w:uiPriority w:val="17"/>
    <w:rsid w:val="00E21D54"/>
    <w:pPr>
      <w:keepNext/>
      <w:keepLines/>
      <w:numPr>
        <w:ilvl w:val="6"/>
        <w:numId w:val="9"/>
      </w:numPr>
      <w:tabs>
        <w:tab w:val="left" w:pos="1361"/>
      </w:tabs>
      <w:spacing w:before="100" w:beforeAutospacing="1" w:after="120"/>
      <w:jc w:val="both"/>
    </w:pPr>
    <w:rPr>
      <w:i w:val="0"/>
      <w:sz w:val="20"/>
    </w:rPr>
  </w:style>
  <w:style w:type="paragraph" w:customStyle="1" w:styleId="JuH">
    <w:name w:val="Ju_H_–"/>
    <w:aliases w:val="_Head_8"/>
    <w:basedOn w:val="8"/>
    <w:next w:val="JuPara"/>
    <w:uiPriority w:val="17"/>
    <w:rsid w:val="00E21D54"/>
    <w:pPr>
      <w:keepNext/>
      <w:keepLines/>
      <w:numPr>
        <w:ilvl w:val="7"/>
        <w:numId w:val="9"/>
      </w:numPr>
      <w:spacing w:before="100" w:beforeAutospacing="1" w:after="120"/>
      <w:jc w:val="both"/>
    </w:pPr>
    <w:rPr>
      <w:i/>
    </w:rPr>
  </w:style>
  <w:style w:type="character" w:customStyle="1" w:styleId="32">
    <w:name w:val="Заголовок 3 Знак"/>
    <w:basedOn w:val="a3"/>
    <w:link w:val="31"/>
    <w:uiPriority w:val="98"/>
    <w:semiHidden/>
    <w:rsid w:val="00E21D54"/>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E21D54"/>
    <w:pPr>
      <w:keepNext/>
      <w:keepLines/>
      <w:spacing w:before="240" w:after="240"/>
      <w:ind w:firstLine="284"/>
    </w:pPr>
  </w:style>
  <w:style w:type="paragraph" w:customStyle="1" w:styleId="JuJudges">
    <w:name w:val="Ju_Judges"/>
    <w:aliases w:val="_Judges"/>
    <w:basedOn w:val="a2"/>
    <w:uiPriority w:val="32"/>
    <w:qFormat/>
    <w:rsid w:val="00E21D54"/>
    <w:pPr>
      <w:tabs>
        <w:tab w:val="left" w:pos="567"/>
        <w:tab w:val="left" w:pos="1134"/>
      </w:tabs>
    </w:pPr>
  </w:style>
  <w:style w:type="character" w:customStyle="1" w:styleId="42">
    <w:name w:val="Заголовок 4 Знак"/>
    <w:basedOn w:val="a3"/>
    <w:link w:val="41"/>
    <w:uiPriority w:val="98"/>
    <w:semiHidden/>
    <w:rsid w:val="00E21D54"/>
    <w:rPr>
      <w:rFonts w:asciiTheme="majorHAnsi" w:eastAsiaTheme="majorEastAsia" w:hAnsiTheme="majorHAnsi" w:cstheme="majorBidi"/>
      <w:b/>
      <w:bCs/>
      <w:i/>
      <w:iCs/>
      <w:color w:val="777777"/>
      <w:lang w:val="en-GB"/>
    </w:rPr>
  </w:style>
  <w:style w:type="paragraph" w:customStyle="1" w:styleId="JuInitialled">
    <w:name w:val="Ju_Initialled"/>
    <w:aliases w:val="_Right"/>
    <w:basedOn w:val="a2"/>
    <w:uiPriority w:val="30"/>
    <w:qFormat/>
    <w:rsid w:val="00E21D54"/>
    <w:pPr>
      <w:tabs>
        <w:tab w:val="center" w:pos="6407"/>
      </w:tabs>
      <w:spacing w:before="720"/>
      <w:jc w:val="right"/>
    </w:pPr>
  </w:style>
  <w:style w:type="character" w:customStyle="1" w:styleId="52">
    <w:name w:val="Заголовок 5 Знак"/>
    <w:basedOn w:val="a3"/>
    <w:link w:val="51"/>
    <w:uiPriority w:val="98"/>
    <w:semiHidden/>
    <w:rsid w:val="00E21D54"/>
    <w:rPr>
      <w:rFonts w:asciiTheme="majorHAnsi" w:eastAsiaTheme="majorEastAsia" w:hAnsiTheme="majorHAnsi" w:cstheme="majorBidi"/>
      <w:b/>
      <w:bCs/>
      <w:color w:val="808080"/>
      <w:lang w:val="en-GB"/>
    </w:rPr>
  </w:style>
  <w:style w:type="character" w:customStyle="1" w:styleId="JuITMark">
    <w:name w:val="Ju_ITMark"/>
    <w:aliases w:val="_ITMark"/>
    <w:basedOn w:val="a3"/>
    <w:uiPriority w:val="54"/>
    <w:qFormat/>
    <w:rsid w:val="00E21D54"/>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E21D54"/>
    <w:rPr>
      <w:caps w:val="0"/>
      <w:smallCaps/>
    </w:rPr>
  </w:style>
  <w:style w:type="character" w:styleId="af1">
    <w:name w:val="Subtle Emphasis"/>
    <w:uiPriority w:val="98"/>
    <w:qFormat/>
    <w:rsid w:val="00E21D54"/>
    <w:rPr>
      <w:i/>
      <w:iCs/>
    </w:rPr>
  </w:style>
  <w:style w:type="table" w:customStyle="1" w:styleId="ECHRTable">
    <w:name w:val="ECHR_Table"/>
    <w:basedOn w:val="a4"/>
    <w:rsid w:val="00E21D54"/>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E21D54"/>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af2">
    <w:name w:val="Emphasis"/>
    <w:uiPriority w:val="98"/>
    <w:qFormat/>
    <w:rsid w:val="00E21D54"/>
    <w:rPr>
      <w:b/>
      <w:bCs/>
      <w:i/>
      <w:iCs/>
      <w:spacing w:val="10"/>
      <w:bdr w:val="none" w:sz="0" w:space="0" w:color="auto"/>
      <w:shd w:val="clear" w:color="auto" w:fill="auto"/>
    </w:rPr>
  </w:style>
  <w:style w:type="paragraph" w:styleId="af">
    <w:name w:val="footer"/>
    <w:basedOn w:val="a2"/>
    <w:link w:val="af3"/>
    <w:uiPriority w:val="98"/>
    <w:semiHidden/>
    <w:rsid w:val="00E21D54"/>
    <w:pPr>
      <w:tabs>
        <w:tab w:val="center" w:pos="3686"/>
        <w:tab w:val="right" w:pos="7371"/>
      </w:tabs>
    </w:pPr>
  </w:style>
  <w:style w:type="character" w:customStyle="1" w:styleId="af3">
    <w:name w:val="Нижний колонтитул Знак"/>
    <w:basedOn w:val="a3"/>
    <w:link w:val="af"/>
    <w:uiPriority w:val="98"/>
    <w:semiHidden/>
    <w:rsid w:val="00E21D54"/>
    <w:rPr>
      <w:sz w:val="24"/>
      <w:szCs w:val="24"/>
      <w:lang w:val="en-GB"/>
    </w:rPr>
  </w:style>
  <w:style w:type="character" w:styleId="af4">
    <w:name w:val="footnote reference"/>
    <w:basedOn w:val="a3"/>
    <w:uiPriority w:val="99"/>
    <w:rsid w:val="00E21D54"/>
    <w:rPr>
      <w:vertAlign w:val="superscript"/>
    </w:rPr>
  </w:style>
  <w:style w:type="paragraph" w:styleId="af5">
    <w:name w:val="footnote text"/>
    <w:basedOn w:val="a2"/>
    <w:link w:val="af6"/>
    <w:uiPriority w:val="98"/>
    <w:semiHidden/>
    <w:rsid w:val="00E21D54"/>
    <w:rPr>
      <w:sz w:val="20"/>
      <w:szCs w:val="20"/>
    </w:rPr>
  </w:style>
  <w:style w:type="character" w:customStyle="1" w:styleId="af6">
    <w:name w:val="Текст сноски Знак"/>
    <w:basedOn w:val="a3"/>
    <w:link w:val="af5"/>
    <w:uiPriority w:val="98"/>
    <w:semiHidden/>
    <w:rsid w:val="00E21D54"/>
    <w:rPr>
      <w:sz w:val="20"/>
      <w:szCs w:val="20"/>
      <w:lang w:val="en-GB"/>
    </w:rPr>
  </w:style>
  <w:style w:type="character" w:customStyle="1" w:styleId="60">
    <w:name w:val="Заголовок 6 Знак"/>
    <w:basedOn w:val="a3"/>
    <w:link w:val="6"/>
    <w:uiPriority w:val="98"/>
    <w:semiHidden/>
    <w:rsid w:val="00E21D54"/>
    <w:rPr>
      <w:rFonts w:asciiTheme="majorHAnsi" w:eastAsiaTheme="majorEastAsia" w:hAnsiTheme="majorHAnsi" w:cstheme="majorBidi"/>
      <w:b/>
      <w:bCs/>
      <w:i/>
      <w:iCs/>
      <w:color w:val="7F7F7F" w:themeColor="text1" w:themeTint="80"/>
      <w:lang w:val="en-GB" w:bidi="en-US"/>
    </w:rPr>
  </w:style>
  <w:style w:type="character" w:customStyle="1" w:styleId="70">
    <w:name w:val="Заголовок 7 Знак"/>
    <w:basedOn w:val="a3"/>
    <w:link w:val="7"/>
    <w:uiPriority w:val="98"/>
    <w:semiHidden/>
    <w:rsid w:val="00E21D54"/>
    <w:rPr>
      <w:rFonts w:asciiTheme="majorHAnsi" w:eastAsiaTheme="majorEastAsia" w:hAnsiTheme="majorHAnsi" w:cstheme="majorBidi"/>
      <w:i/>
      <w:iCs/>
      <w:lang w:val="en-GB" w:bidi="en-US"/>
    </w:rPr>
  </w:style>
  <w:style w:type="character" w:customStyle="1" w:styleId="80">
    <w:name w:val="Заголовок 8 Знак"/>
    <w:basedOn w:val="a3"/>
    <w:link w:val="8"/>
    <w:uiPriority w:val="98"/>
    <w:semiHidden/>
    <w:rsid w:val="00E21D54"/>
    <w:rPr>
      <w:rFonts w:asciiTheme="majorHAnsi" w:eastAsiaTheme="majorEastAsia" w:hAnsiTheme="majorHAnsi" w:cstheme="majorBidi"/>
      <w:sz w:val="20"/>
      <w:szCs w:val="20"/>
      <w:lang w:val="en-GB" w:bidi="en-US"/>
    </w:rPr>
  </w:style>
  <w:style w:type="character" w:customStyle="1" w:styleId="90">
    <w:name w:val="Заголовок 9 Знак"/>
    <w:basedOn w:val="a3"/>
    <w:link w:val="9"/>
    <w:uiPriority w:val="98"/>
    <w:semiHidden/>
    <w:rsid w:val="00E21D54"/>
    <w:rPr>
      <w:rFonts w:asciiTheme="majorHAnsi" w:eastAsiaTheme="majorEastAsia" w:hAnsiTheme="majorHAnsi" w:cstheme="majorBidi"/>
      <w:i/>
      <w:iCs/>
      <w:spacing w:val="5"/>
      <w:sz w:val="20"/>
      <w:szCs w:val="20"/>
      <w:lang w:val="en-GB" w:bidi="en-US"/>
    </w:rPr>
  </w:style>
  <w:style w:type="character" w:styleId="af7">
    <w:name w:val="Hyperlink"/>
    <w:basedOn w:val="a3"/>
    <w:uiPriority w:val="98"/>
    <w:semiHidden/>
    <w:rsid w:val="00E21D54"/>
    <w:rPr>
      <w:color w:val="0072BC" w:themeColor="hyperlink"/>
      <w:u w:val="single"/>
    </w:rPr>
  </w:style>
  <w:style w:type="character" w:styleId="af8">
    <w:name w:val="Intense Emphasis"/>
    <w:uiPriority w:val="98"/>
    <w:qFormat/>
    <w:rsid w:val="00E21D54"/>
    <w:rPr>
      <w:b/>
      <w:bCs/>
    </w:rPr>
  </w:style>
  <w:style w:type="paragraph" w:styleId="af9">
    <w:name w:val="Intense Quote"/>
    <w:basedOn w:val="a2"/>
    <w:next w:val="a2"/>
    <w:link w:val="afa"/>
    <w:uiPriority w:val="98"/>
    <w:qFormat/>
    <w:rsid w:val="00E21D54"/>
    <w:pPr>
      <w:pBdr>
        <w:bottom w:val="single" w:sz="4" w:space="1" w:color="auto"/>
      </w:pBdr>
      <w:spacing w:before="200" w:after="280"/>
      <w:ind w:left="1008" w:right="1152"/>
    </w:pPr>
    <w:rPr>
      <w:b/>
      <w:bCs/>
      <w:i/>
      <w:iCs/>
      <w:lang w:bidi="en-US"/>
    </w:rPr>
  </w:style>
  <w:style w:type="character" w:customStyle="1" w:styleId="afa">
    <w:name w:val="Выделенная цитата Знак"/>
    <w:basedOn w:val="a3"/>
    <w:link w:val="af9"/>
    <w:uiPriority w:val="98"/>
    <w:rsid w:val="00E21D54"/>
    <w:rPr>
      <w:b/>
      <w:bCs/>
      <w:i/>
      <w:iCs/>
      <w:sz w:val="24"/>
      <w:szCs w:val="24"/>
      <w:lang w:val="en-GB" w:bidi="en-US"/>
    </w:rPr>
  </w:style>
  <w:style w:type="character" w:styleId="afb">
    <w:name w:val="Intense Reference"/>
    <w:uiPriority w:val="98"/>
    <w:qFormat/>
    <w:rsid w:val="00E21D54"/>
    <w:rPr>
      <w:smallCaps/>
      <w:spacing w:val="5"/>
      <w:u w:val="single"/>
    </w:rPr>
  </w:style>
  <w:style w:type="paragraph" w:styleId="afc">
    <w:name w:val="List Paragraph"/>
    <w:basedOn w:val="a2"/>
    <w:uiPriority w:val="98"/>
    <w:qFormat/>
    <w:rsid w:val="00E21D54"/>
    <w:pPr>
      <w:ind w:left="720"/>
      <w:contextualSpacing/>
    </w:pPr>
  </w:style>
  <w:style w:type="table" w:customStyle="1" w:styleId="LtrTableAddress">
    <w:name w:val="Ltr_Table_Address"/>
    <w:aliases w:val="ECHR_Ltr_Table_Address"/>
    <w:basedOn w:val="a4"/>
    <w:uiPriority w:val="99"/>
    <w:rsid w:val="00E21D54"/>
    <w:rPr>
      <w:sz w:val="24"/>
      <w:szCs w:val="24"/>
    </w:rPr>
    <w:tblPr>
      <w:tblInd w:w="5103" w:type="dxa"/>
    </w:tblPr>
  </w:style>
  <w:style w:type="paragraph" w:styleId="23">
    <w:name w:val="Quote"/>
    <w:basedOn w:val="a2"/>
    <w:next w:val="a2"/>
    <w:link w:val="24"/>
    <w:uiPriority w:val="98"/>
    <w:qFormat/>
    <w:rsid w:val="00E21D54"/>
    <w:pPr>
      <w:spacing w:before="200"/>
      <w:ind w:left="360" w:right="360"/>
    </w:pPr>
    <w:rPr>
      <w:i/>
      <w:iCs/>
      <w:lang w:bidi="en-US"/>
    </w:rPr>
  </w:style>
  <w:style w:type="character" w:customStyle="1" w:styleId="24">
    <w:name w:val="Цитата 2 Знак"/>
    <w:basedOn w:val="a3"/>
    <w:link w:val="23"/>
    <w:uiPriority w:val="98"/>
    <w:rsid w:val="00E21D54"/>
    <w:rPr>
      <w:i/>
      <w:iCs/>
      <w:sz w:val="24"/>
      <w:szCs w:val="24"/>
      <w:lang w:val="en-GB" w:bidi="en-US"/>
    </w:rPr>
  </w:style>
  <w:style w:type="character" w:styleId="afd">
    <w:name w:val="Subtle Reference"/>
    <w:uiPriority w:val="98"/>
    <w:qFormat/>
    <w:rsid w:val="00E21D54"/>
    <w:rPr>
      <w:smallCaps/>
    </w:rPr>
  </w:style>
  <w:style w:type="table" w:styleId="afe">
    <w:name w:val="Table Grid"/>
    <w:basedOn w:val="a4"/>
    <w:uiPriority w:val="59"/>
    <w:rsid w:val="00E21D5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8"/>
    <w:semiHidden/>
    <w:rsid w:val="00E21D54"/>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8"/>
    <w:semiHidden/>
    <w:rsid w:val="00E21D54"/>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8"/>
    <w:semiHidden/>
    <w:rsid w:val="00E21D54"/>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8"/>
    <w:semiHidden/>
    <w:rsid w:val="00E21D54"/>
    <w:pPr>
      <w:keepNext/>
      <w:tabs>
        <w:tab w:val="right" w:leader="dot" w:pos="7371"/>
      </w:tabs>
      <w:spacing w:after="60" w:line="240" w:lineRule="exact"/>
      <w:ind w:left="1361" w:right="567" w:hanging="340"/>
    </w:pPr>
    <w:rPr>
      <w:sz w:val="20"/>
    </w:rPr>
  </w:style>
  <w:style w:type="paragraph" w:styleId="53">
    <w:name w:val="toc 5"/>
    <w:basedOn w:val="a2"/>
    <w:next w:val="a2"/>
    <w:autoRedefine/>
    <w:uiPriority w:val="98"/>
    <w:semiHidden/>
    <w:rsid w:val="00E21D54"/>
    <w:pPr>
      <w:tabs>
        <w:tab w:val="right" w:leader="dot" w:pos="7371"/>
      </w:tabs>
      <w:spacing w:after="60" w:line="240" w:lineRule="exact"/>
      <w:ind w:left="1701" w:right="567" w:hanging="340"/>
    </w:pPr>
    <w:rPr>
      <w:sz w:val="20"/>
    </w:rPr>
  </w:style>
  <w:style w:type="paragraph" w:styleId="aff">
    <w:name w:val="TOC Heading"/>
    <w:basedOn w:val="a2"/>
    <w:next w:val="a2"/>
    <w:uiPriority w:val="98"/>
    <w:semiHidden/>
    <w:qFormat/>
    <w:rsid w:val="00E21D54"/>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a4"/>
    <w:uiPriority w:val="99"/>
    <w:rsid w:val="00E21D54"/>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a4"/>
    <w:uiPriority w:val="99"/>
    <w:rsid w:val="00E21D54"/>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a4"/>
    <w:uiPriority w:val="99"/>
    <w:rsid w:val="00E21D54"/>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E21D54"/>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E21D54"/>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a4"/>
    <w:uiPriority w:val="99"/>
    <w:rsid w:val="00E21D54"/>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8"/>
    <w:semiHidden/>
    <w:rsid w:val="00E21D54"/>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aff1">
    <w:name w:val="Subtitle"/>
    <w:basedOn w:val="a2"/>
    <w:next w:val="a2"/>
    <w:link w:val="aff2"/>
    <w:uiPriority w:val="98"/>
    <w:qFormat/>
    <w:rsid w:val="00E21D54"/>
    <w:pPr>
      <w:spacing w:after="600"/>
    </w:pPr>
    <w:rPr>
      <w:rFonts w:asciiTheme="majorHAnsi" w:eastAsiaTheme="majorEastAsia" w:hAnsiTheme="majorHAnsi" w:cstheme="majorBidi"/>
      <w:i/>
      <w:iCs/>
      <w:spacing w:val="13"/>
      <w:lang w:bidi="en-US"/>
    </w:rPr>
  </w:style>
  <w:style w:type="character" w:customStyle="1" w:styleId="aff2">
    <w:name w:val="Подзаголовок Знак"/>
    <w:basedOn w:val="a3"/>
    <w:link w:val="aff1"/>
    <w:uiPriority w:val="98"/>
    <w:rsid w:val="00E21D54"/>
    <w:rPr>
      <w:rFonts w:asciiTheme="majorHAnsi" w:eastAsiaTheme="majorEastAsia" w:hAnsiTheme="majorHAnsi" w:cstheme="majorBidi"/>
      <w:i/>
      <w:iCs/>
      <w:spacing w:val="13"/>
      <w:sz w:val="24"/>
      <w:szCs w:val="24"/>
      <w:lang w:val="en-GB" w:bidi="en-US"/>
    </w:rPr>
  </w:style>
  <w:style w:type="numbering" w:styleId="111111">
    <w:name w:val="Outline List 2"/>
    <w:basedOn w:val="a5"/>
    <w:uiPriority w:val="99"/>
    <w:semiHidden/>
    <w:unhideWhenUsed/>
    <w:rsid w:val="00E21D54"/>
    <w:pPr>
      <w:numPr>
        <w:numId w:val="1"/>
      </w:numPr>
    </w:pPr>
  </w:style>
  <w:style w:type="paragraph" w:customStyle="1" w:styleId="JuPara">
    <w:name w:val="Ju_Para"/>
    <w:aliases w:val="_Para"/>
    <w:basedOn w:val="NormalJustified"/>
    <w:link w:val="JuParaChar"/>
    <w:uiPriority w:val="4"/>
    <w:qFormat/>
    <w:rsid w:val="00210906"/>
    <w:pPr>
      <w:ind w:firstLine="284"/>
    </w:pPr>
  </w:style>
  <w:style w:type="numbering" w:styleId="1ai">
    <w:name w:val="Outline List 1"/>
    <w:basedOn w:val="a5"/>
    <w:uiPriority w:val="99"/>
    <w:semiHidden/>
    <w:unhideWhenUsed/>
    <w:rsid w:val="00E21D54"/>
    <w:pPr>
      <w:numPr>
        <w:numId w:val="2"/>
      </w:numPr>
    </w:pPr>
  </w:style>
  <w:style w:type="table" w:customStyle="1" w:styleId="ECHRTableSimpleBox">
    <w:name w:val="ECHR_Table_Simple_Box"/>
    <w:basedOn w:val="a4"/>
    <w:uiPriority w:val="99"/>
    <w:rsid w:val="00E21D54"/>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E21D54"/>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0">
    <w:name w:val="Outline List 3"/>
    <w:basedOn w:val="a5"/>
    <w:uiPriority w:val="99"/>
    <w:semiHidden/>
    <w:unhideWhenUsed/>
    <w:rsid w:val="00E21D54"/>
    <w:pPr>
      <w:numPr>
        <w:numId w:val="3"/>
      </w:numPr>
    </w:pPr>
  </w:style>
  <w:style w:type="table" w:customStyle="1" w:styleId="ECHRTableForInternalUse">
    <w:name w:val="ECHR_Table_For_Internal_Use"/>
    <w:basedOn w:val="a4"/>
    <w:uiPriority w:val="99"/>
    <w:rsid w:val="00E21D54"/>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E21D54"/>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3">
    <w:name w:val="Bibliography"/>
    <w:basedOn w:val="a2"/>
    <w:next w:val="a2"/>
    <w:uiPriority w:val="98"/>
    <w:semiHidden/>
    <w:rsid w:val="00E21D54"/>
  </w:style>
  <w:style w:type="paragraph" w:styleId="aff4">
    <w:name w:val="Block Text"/>
    <w:basedOn w:val="a2"/>
    <w:uiPriority w:val="98"/>
    <w:semiHidden/>
    <w:rsid w:val="00E21D54"/>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a4"/>
    <w:uiPriority w:val="99"/>
    <w:rsid w:val="00E21D54"/>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aff5">
    <w:name w:val="Body Text"/>
    <w:basedOn w:val="a2"/>
    <w:link w:val="aff6"/>
    <w:uiPriority w:val="98"/>
    <w:semiHidden/>
    <w:rsid w:val="00E21D54"/>
    <w:pPr>
      <w:spacing w:after="120"/>
    </w:pPr>
  </w:style>
  <w:style w:type="character" w:customStyle="1" w:styleId="aff6">
    <w:name w:val="Основной текст Знак"/>
    <w:basedOn w:val="a3"/>
    <w:link w:val="aff5"/>
    <w:uiPriority w:val="98"/>
    <w:semiHidden/>
    <w:rsid w:val="00E21D54"/>
    <w:rPr>
      <w:sz w:val="24"/>
      <w:szCs w:val="24"/>
      <w:lang w:val="en-GB"/>
    </w:rPr>
  </w:style>
  <w:style w:type="table" w:customStyle="1" w:styleId="ECHRTableOddBanded">
    <w:name w:val="ECHR_Table_Odd_Banded"/>
    <w:basedOn w:val="a4"/>
    <w:uiPriority w:val="99"/>
    <w:rsid w:val="00E21D54"/>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26">
    <w:name w:val="Body Text 2"/>
    <w:basedOn w:val="a2"/>
    <w:link w:val="27"/>
    <w:uiPriority w:val="98"/>
    <w:semiHidden/>
    <w:rsid w:val="00E21D54"/>
    <w:pPr>
      <w:spacing w:after="120" w:line="480" w:lineRule="auto"/>
    </w:pPr>
  </w:style>
  <w:style w:type="table" w:customStyle="1" w:styleId="ECHRHeaderTableReduced">
    <w:name w:val="ECHR_Header_Table_Reduced"/>
    <w:basedOn w:val="a4"/>
    <w:uiPriority w:val="99"/>
    <w:rsid w:val="00E21D54"/>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a2"/>
    <w:next w:val="JuPara"/>
    <w:uiPriority w:val="32"/>
    <w:rsid w:val="00E21D54"/>
    <w:pPr>
      <w:ind w:firstLine="284"/>
    </w:pPr>
    <w:rPr>
      <w:b/>
    </w:rPr>
  </w:style>
  <w:style w:type="character" w:styleId="aff7">
    <w:name w:val="page number"/>
    <w:uiPriority w:val="98"/>
    <w:semiHidden/>
    <w:rsid w:val="00E21D54"/>
    <w:rPr>
      <w:sz w:val="18"/>
    </w:rPr>
  </w:style>
  <w:style w:type="paragraph" w:styleId="a1">
    <w:name w:val="List Bullet"/>
    <w:basedOn w:val="a2"/>
    <w:uiPriority w:val="98"/>
    <w:semiHidden/>
    <w:rsid w:val="00E21D54"/>
    <w:pPr>
      <w:numPr>
        <w:numId w:val="11"/>
      </w:numPr>
    </w:pPr>
  </w:style>
  <w:style w:type="paragraph" w:styleId="30">
    <w:name w:val="List Bullet 3"/>
    <w:basedOn w:val="a2"/>
    <w:uiPriority w:val="98"/>
    <w:semiHidden/>
    <w:rsid w:val="00E21D54"/>
    <w:pPr>
      <w:numPr>
        <w:numId w:val="13"/>
      </w:numPr>
      <w:tabs>
        <w:tab w:val="clear" w:pos="1080"/>
        <w:tab w:val="num" w:pos="360"/>
      </w:tabs>
      <w:ind w:left="360"/>
      <w:contextualSpacing/>
    </w:pPr>
  </w:style>
  <w:style w:type="character" w:customStyle="1" w:styleId="27">
    <w:name w:val="Основной текст 2 Знак"/>
    <w:basedOn w:val="a3"/>
    <w:link w:val="26"/>
    <w:uiPriority w:val="98"/>
    <w:semiHidden/>
    <w:rsid w:val="00E21D54"/>
    <w:rPr>
      <w:sz w:val="24"/>
      <w:szCs w:val="24"/>
      <w:lang w:val="en-GB"/>
    </w:rPr>
  </w:style>
  <w:style w:type="paragraph" w:styleId="34">
    <w:name w:val="Body Text 3"/>
    <w:basedOn w:val="a2"/>
    <w:link w:val="35"/>
    <w:uiPriority w:val="98"/>
    <w:semiHidden/>
    <w:rsid w:val="00E21D54"/>
    <w:pPr>
      <w:spacing w:after="120"/>
    </w:pPr>
    <w:rPr>
      <w:sz w:val="16"/>
      <w:szCs w:val="16"/>
    </w:rPr>
  </w:style>
  <w:style w:type="character" w:customStyle="1" w:styleId="35">
    <w:name w:val="Основной текст 3 Знак"/>
    <w:basedOn w:val="a3"/>
    <w:link w:val="34"/>
    <w:uiPriority w:val="98"/>
    <w:semiHidden/>
    <w:rsid w:val="00E21D54"/>
    <w:rPr>
      <w:sz w:val="16"/>
      <w:szCs w:val="16"/>
      <w:lang w:val="en-GB"/>
    </w:rPr>
  </w:style>
  <w:style w:type="paragraph" w:styleId="aff8">
    <w:name w:val="Body Text First Indent"/>
    <w:basedOn w:val="aff5"/>
    <w:link w:val="aff9"/>
    <w:uiPriority w:val="98"/>
    <w:semiHidden/>
    <w:rsid w:val="00E21D54"/>
    <w:pPr>
      <w:spacing w:after="0"/>
      <w:ind w:firstLine="360"/>
    </w:pPr>
  </w:style>
  <w:style w:type="character" w:customStyle="1" w:styleId="aff9">
    <w:name w:val="Красная строка Знак"/>
    <w:basedOn w:val="aff6"/>
    <w:link w:val="aff8"/>
    <w:uiPriority w:val="98"/>
    <w:semiHidden/>
    <w:rsid w:val="00E21D54"/>
    <w:rPr>
      <w:sz w:val="24"/>
      <w:szCs w:val="24"/>
      <w:lang w:val="en-GB"/>
    </w:rPr>
  </w:style>
  <w:style w:type="paragraph" w:styleId="affa">
    <w:name w:val="Body Text Indent"/>
    <w:basedOn w:val="a2"/>
    <w:link w:val="affb"/>
    <w:uiPriority w:val="98"/>
    <w:semiHidden/>
    <w:rsid w:val="00E21D54"/>
    <w:pPr>
      <w:spacing w:after="120"/>
      <w:ind w:left="283"/>
    </w:pPr>
  </w:style>
  <w:style w:type="character" w:customStyle="1" w:styleId="affb">
    <w:name w:val="Основной текст с отступом Знак"/>
    <w:basedOn w:val="a3"/>
    <w:link w:val="affa"/>
    <w:uiPriority w:val="98"/>
    <w:semiHidden/>
    <w:rsid w:val="00E21D54"/>
    <w:rPr>
      <w:sz w:val="24"/>
      <w:szCs w:val="24"/>
      <w:lang w:val="en-GB"/>
    </w:rPr>
  </w:style>
  <w:style w:type="paragraph" w:styleId="28">
    <w:name w:val="Body Text First Indent 2"/>
    <w:basedOn w:val="affa"/>
    <w:link w:val="29"/>
    <w:uiPriority w:val="98"/>
    <w:semiHidden/>
    <w:rsid w:val="00E21D54"/>
    <w:pPr>
      <w:spacing w:after="0"/>
      <w:ind w:left="360" w:firstLine="360"/>
    </w:pPr>
  </w:style>
  <w:style w:type="character" w:customStyle="1" w:styleId="29">
    <w:name w:val="Красная строка 2 Знак"/>
    <w:basedOn w:val="affb"/>
    <w:link w:val="28"/>
    <w:uiPriority w:val="98"/>
    <w:semiHidden/>
    <w:rsid w:val="00E21D54"/>
    <w:rPr>
      <w:sz w:val="24"/>
      <w:szCs w:val="24"/>
      <w:lang w:val="en-GB"/>
    </w:rPr>
  </w:style>
  <w:style w:type="paragraph" w:styleId="2a">
    <w:name w:val="Body Text Indent 2"/>
    <w:basedOn w:val="a2"/>
    <w:link w:val="2b"/>
    <w:uiPriority w:val="98"/>
    <w:semiHidden/>
    <w:rsid w:val="00E21D54"/>
    <w:pPr>
      <w:spacing w:after="120" w:line="480" w:lineRule="auto"/>
      <w:ind w:left="283"/>
    </w:pPr>
  </w:style>
  <w:style w:type="character" w:customStyle="1" w:styleId="2b">
    <w:name w:val="Основной текст с отступом 2 Знак"/>
    <w:basedOn w:val="a3"/>
    <w:link w:val="2a"/>
    <w:uiPriority w:val="98"/>
    <w:semiHidden/>
    <w:rsid w:val="00E21D54"/>
    <w:rPr>
      <w:sz w:val="24"/>
      <w:szCs w:val="24"/>
      <w:lang w:val="en-GB"/>
    </w:rPr>
  </w:style>
  <w:style w:type="paragraph" w:styleId="36">
    <w:name w:val="Body Text Indent 3"/>
    <w:basedOn w:val="a2"/>
    <w:link w:val="37"/>
    <w:uiPriority w:val="98"/>
    <w:semiHidden/>
    <w:rsid w:val="00E21D54"/>
    <w:pPr>
      <w:spacing w:after="120"/>
      <w:ind w:left="283"/>
    </w:pPr>
    <w:rPr>
      <w:sz w:val="16"/>
      <w:szCs w:val="16"/>
    </w:rPr>
  </w:style>
  <w:style w:type="character" w:customStyle="1" w:styleId="37">
    <w:name w:val="Основной текст с отступом 3 Знак"/>
    <w:basedOn w:val="a3"/>
    <w:link w:val="36"/>
    <w:uiPriority w:val="98"/>
    <w:semiHidden/>
    <w:rsid w:val="00E21D54"/>
    <w:rPr>
      <w:sz w:val="16"/>
      <w:szCs w:val="16"/>
      <w:lang w:val="en-GB"/>
    </w:rPr>
  </w:style>
  <w:style w:type="paragraph" w:styleId="affc">
    <w:name w:val="caption"/>
    <w:basedOn w:val="a2"/>
    <w:next w:val="a2"/>
    <w:uiPriority w:val="98"/>
    <w:semiHidden/>
    <w:qFormat/>
    <w:rsid w:val="00E21D54"/>
    <w:pPr>
      <w:spacing w:after="200"/>
    </w:pPr>
    <w:rPr>
      <w:b/>
      <w:bCs/>
      <w:color w:val="0072BC" w:themeColor="accent1"/>
      <w:sz w:val="18"/>
      <w:szCs w:val="18"/>
    </w:rPr>
  </w:style>
  <w:style w:type="paragraph" w:styleId="affd">
    <w:name w:val="Closing"/>
    <w:basedOn w:val="a2"/>
    <w:link w:val="affe"/>
    <w:uiPriority w:val="98"/>
    <w:semiHidden/>
    <w:rsid w:val="00E21D54"/>
    <w:pPr>
      <w:ind w:left="4252"/>
    </w:pPr>
  </w:style>
  <w:style w:type="character" w:customStyle="1" w:styleId="affe">
    <w:name w:val="Прощание Знак"/>
    <w:basedOn w:val="a3"/>
    <w:link w:val="affd"/>
    <w:uiPriority w:val="98"/>
    <w:semiHidden/>
    <w:rsid w:val="00E21D54"/>
    <w:rPr>
      <w:sz w:val="24"/>
      <w:szCs w:val="24"/>
      <w:lang w:val="en-GB"/>
    </w:rPr>
  </w:style>
  <w:style w:type="table" w:styleId="afff">
    <w:name w:val="Colorful Grid"/>
    <w:basedOn w:val="a4"/>
    <w:uiPriority w:val="73"/>
    <w:semiHidden/>
    <w:rsid w:val="00E21D54"/>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rsid w:val="00E21D54"/>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73"/>
    <w:semiHidden/>
    <w:rsid w:val="00E21D54"/>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73"/>
    <w:semiHidden/>
    <w:rsid w:val="00E21D5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73"/>
    <w:semiHidden/>
    <w:rsid w:val="00E21D54"/>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73"/>
    <w:semiHidden/>
    <w:rsid w:val="00E21D5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rsid w:val="00E21D54"/>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0">
    <w:name w:val="Colorful List"/>
    <w:basedOn w:val="a4"/>
    <w:uiPriority w:val="72"/>
    <w:semiHidden/>
    <w:rsid w:val="00E21D54"/>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rsid w:val="00E21D54"/>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72"/>
    <w:semiHidden/>
    <w:rsid w:val="00E21D54"/>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72"/>
    <w:semiHidden/>
    <w:rsid w:val="00E21D54"/>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72"/>
    <w:semiHidden/>
    <w:rsid w:val="00E21D54"/>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72"/>
    <w:semiHidden/>
    <w:rsid w:val="00E21D54"/>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rsid w:val="00E21D54"/>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1">
    <w:name w:val="Colorful Shading"/>
    <w:basedOn w:val="a4"/>
    <w:uiPriority w:val="71"/>
    <w:semiHidden/>
    <w:rsid w:val="00E21D54"/>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rsid w:val="00E21D54"/>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rsid w:val="00E21D54"/>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rsid w:val="00E21D54"/>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71"/>
    <w:semiHidden/>
    <w:rsid w:val="00E21D54"/>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rsid w:val="00E21D54"/>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rsid w:val="00E21D54"/>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2">
    <w:name w:val="annotation reference"/>
    <w:basedOn w:val="a3"/>
    <w:uiPriority w:val="99"/>
    <w:semiHidden/>
    <w:rsid w:val="00E21D54"/>
    <w:rPr>
      <w:sz w:val="16"/>
      <w:szCs w:val="16"/>
    </w:rPr>
  </w:style>
  <w:style w:type="paragraph" w:styleId="afff3">
    <w:name w:val="annotation text"/>
    <w:basedOn w:val="a2"/>
    <w:link w:val="afff4"/>
    <w:semiHidden/>
    <w:rsid w:val="00E21D54"/>
    <w:rPr>
      <w:sz w:val="20"/>
      <w:szCs w:val="20"/>
    </w:rPr>
  </w:style>
  <w:style w:type="character" w:customStyle="1" w:styleId="afff4">
    <w:name w:val="Текст примечания Знак"/>
    <w:basedOn w:val="a3"/>
    <w:link w:val="afff3"/>
    <w:semiHidden/>
    <w:rsid w:val="00E21D54"/>
    <w:rPr>
      <w:sz w:val="20"/>
      <w:szCs w:val="20"/>
      <w:lang w:val="en-GB"/>
    </w:rPr>
  </w:style>
  <w:style w:type="paragraph" w:styleId="afff5">
    <w:name w:val="annotation subject"/>
    <w:basedOn w:val="afff3"/>
    <w:next w:val="afff3"/>
    <w:link w:val="afff6"/>
    <w:uiPriority w:val="98"/>
    <w:semiHidden/>
    <w:rsid w:val="00E21D54"/>
    <w:rPr>
      <w:b/>
      <w:bCs/>
    </w:rPr>
  </w:style>
  <w:style w:type="character" w:customStyle="1" w:styleId="afff6">
    <w:name w:val="Тема примечания Знак"/>
    <w:basedOn w:val="afff4"/>
    <w:link w:val="afff5"/>
    <w:uiPriority w:val="98"/>
    <w:semiHidden/>
    <w:rsid w:val="00E21D54"/>
    <w:rPr>
      <w:b/>
      <w:bCs/>
      <w:sz w:val="20"/>
      <w:szCs w:val="20"/>
      <w:lang w:val="en-GB"/>
    </w:rPr>
  </w:style>
  <w:style w:type="table" w:styleId="afff7">
    <w:name w:val="Dark List"/>
    <w:basedOn w:val="a4"/>
    <w:uiPriority w:val="70"/>
    <w:semiHidden/>
    <w:rsid w:val="00E21D54"/>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rsid w:val="00E21D54"/>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70"/>
    <w:semiHidden/>
    <w:rsid w:val="00E21D54"/>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70"/>
    <w:semiHidden/>
    <w:rsid w:val="00E21D54"/>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70"/>
    <w:semiHidden/>
    <w:rsid w:val="00E21D54"/>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70"/>
    <w:semiHidden/>
    <w:rsid w:val="00E21D54"/>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rsid w:val="00E21D54"/>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8"/>
    <w:semiHidden/>
    <w:rsid w:val="00E21D54"/>
  </w:style>
  <w:style w:type="character" w:customStyle="1" w:styleId="afff9">
    <w:name w:val="Дата Знак"/>
    <w:basedOn w:val="a3"/>
    <w:link w:val="afff8"/>
    <w:uiPriority w:val="98"/>
    <w:semiHidden/>
    <w:rsid w:val="00E21D54"/>
    <w:rPr>
      <w:sz w:val="24"/>
      <w:szCs w:val="24"/>
      <w:lang w:val="en-GB"/>
    </w:rPr>
  </w:style>
  <w:style w:type="paragraph" w:styleId="afffa">
    <w:name w:val="Document Map"/>
    <w:basedOn w:val="a2"/>
    <w:link w:val="afffb"/>
    <w:uiPriority w:val="98"/>
    <w:semiHidden/>
    <w:rsid w:val="00E21D54"/>
    <w:rPr>
      <w:rFonts w:ascii="Tahoma" w:hAnsi="Tahoma" w:cs="Tahoma"/>
      <w:sz w:val="16"/>
      <w:szCs w:val="16"/>
    </w:rPr>
  </w:style>
  <w:style w:type="character" w:customStyle="1" w:styleId="afffb">
    <w:name w:val="Схема документа Знак"/>
    <w:basedOn w:val="a3"/>
    <w:link w:val="afffa"/>
    <w:uiPriority w:val="98"/>
    <w:semiHidden/>
    <w:rsid w:val="00E21D54"/>
    <w:rPr>
      <w:rFonts w:ascii="Tahoma" w:hAnsi="Tahoma" w:cs="Tahoma"/>
      <w:sz w:val="16"/>
      <w:szCs w:val="16"/>
      <w:lang w:val="en-GB"/>
    </w:rPr>
  </w:style>
  <w:style w:type="paragraph" w:styleId="afffc">
    <w:name w:val="E-mail Signature"/>
    <w:basedOn w:val="a2"/>
    <w:link w:val="afffd"/>
    <w:uiPriority w:val="98"/>
    <w:semiHidden/>
    <w:rsid w:val="00E21D54"/>
  </w:style>
  <w:style w:type="character" w:customStyle="1" w:styleId="afffd">
    <w:name w:val="Электронная подпись Знак"/>
    <w:basedOn w:val="a3"/>
    <w:link w:val="afffc"/>
    <w:uiPriority w:val="98"/>
    <w:semiHidden/>
    <w:rsid w:val="00E21D54"/>
    <w:rPr>
      <w:sz w:val="24"/>
      <w:szCs w:val="24"/>
      <w:lang w:val="en-GB"/>
    </w:rPr>
  </w:style>
  <w:style w:type="character" w:styleId="afffe">
    <w:name w:val="endnote reference"/>
    <w:basedOn w:val="a3"/>
    <w:uiPriority w:val="98"/>
    <w:semiHidden/>
    <w:rsid w:val="00E21D54"/>
    <w:rPr>
      <w:vertAlign w:val="superscript"/>
    </w:rPr>
  </w:style>
  <w:style w:type="paragraph" w:styleId="affff">
    <w:name w:val="endnote text"/>
    <w:basedOn w:val="a2"/>
    <w:link w:val="affff0"/>
    <w:uiPriority w:val="98"/>
    <w:semiHidden/>
    <w:rsid w:val="00E21D54"/>
    <w:rPr>
      <w:sz w:val="20"/>
      <w:szCs w:val="20"/>
    </w:rPr>
  </w:style>
  <w:style w:type="character" w:customStyle="1" w:styleId="affff0">
    <w:name w:val="Текст концевой сноски Знак"/>
    <w:basedOn w:val="a3"/>
    <w:link w:val="affff"/>
    <w:uiPriority w:val="98"/>
    <w:semiHidden/>
    <w:rsid w:val="00E21D54"/>
    <w:rPr>
      <w:sz w:val="20"/>
      <w:szCs w:val="20"/>
      <w:lang w:val="en-GB"/>
    </w:rPr>
  </w:style>
  <w:style w:type="paragraph" w:styleId="affff1">
    <w:name w:val="envelope address"/>
    <w:basedOn w:val="a2"/>
    <w:uiPriority w:val="98"/>
    <w:semiHidden/>
    <w:rsid w:val="00E21D54"/>
    <w:pPr>
      <w:framePr w:w="7938" w:h="1985" w:hRule="exact" w:hSpace="141" w:wrap="auto" w:hAnchor="page" w:xAlign="center" w:yAlign="bottom"/>
      <w:ind w:left="2835"/>
    </w:pPr>
    <w:rPr>
      <w:rFonts w:asciiTheme="majorHAnsi" w:eastAsiaTheme="majorEastAsia" w:hAnsiTheme="majorHAnsi" w:cstheme="majorBidi"/>
    </w:rPr>
  </w:style>
  <w:style w:type="paragraph" w:styleId="2c">
    <w:name w:val="envelope return"/>
    <w:basedOn w:val="a2"/>
    <w:uiPriority w:val="98"/>
    <w:semiHidden/>
    <w:rsid w:val="00E21D54"/>
    <w:rPr>
      <w:rFonts w:asciiTheme="majorHAnsi" w:eastAsiaTheme="majorEastAsia" w:hAnsiTheme="majorHAnsi" w:cstheme="majorBidi"/>
      <w:sz w:val="20"/>
      <w:szCs w:val="20"/>
    </w:rPr>
  </w:style>
  <w:style w:type="character" w:styleId="affff2">
    <w:name w:val="FollowedHyperlink"/>
    <w:basedOn w:val="a3"/>
    <w:uiPriority w:val="98"/>
    <w:semiHidden/>
    <w:rsid w:val="00E21D54"/>
    <w:rPr>
      <w:color w:val="7030A0" w:themeColor="followedHyperlink"/>
      <w:u w:val="single"/>
    </w:rPr>
  </w:style>
  <w:style w:type="character" w:styleId="HTML">
    <w:name w:val="HTML Acronym"/>
    <w:basedOn w:val="a3"/>
    <w:uiPriority w:val="98"/>
    <w:semiHidden/>
    <w:rsid w:val="00E21D54"/>
  </w:style>
  <w:style w:type="paragraph" w:styleId="HTML0">
    <w:name w:val="HTML Address"/>
    <w:basedOn w:val="a2"/>
    <w:link w:val="HTML1"/>
    <w:uiPriority w:val="98"/>
    <w:semiHidden/>
    <w:rsid w:val="00E21D54"/>
    <w:rPr>
      <w:i/>
      <w:iCs/>
    </w:rPr>
  </w:style>
  <w:style w:type="character" w:customStyle="1" w:styleId="HTML1">
    <w:name w:val="Адрес HTML Знак"/>
    <w:basedOn w:val="a3"/>
    <w:link w:val="HTML0"/>
    <w:uiPriority w:val="98"/>
    <w:semiHidden/>
    <w:rsid w:val="00E21D54"/>
    <w:rPr>
      <w:i/>
      <w:iCs/>
      <w:sz w:val="24"/>
      <w:szCs w:val="24"/>
      <w:lang w:val="en-GB"/>
    </w:rPr>
  </w:style>
  <w:style w:type="character" w:styleId="HTML2">
    <w:name w:val="HTML Cite"/>
    <w:basedOn w:val="a3"/>
    <w:uiPriority w:val="98"/>
    <w:semiHidden/>
    <w:rsid w:val="00E21D54"/>
    <w:rPr>
      <w:i/>
      <w:iCs/>
    </w:rPr>
  </w:style>
  <w:style w:type="character" w:styleId="HTML3">
    <w:name w:val="HTML Code"/>
    <w:basedOn w:val="a3"/>
    <w:uiPriority w:val="98"/>
    <w:semiHidden/>
    <w:rsid w:val="00E21D54"/>
    <w:rPr>
      <w:rFonts w:ascii="Consolas" w:hAnsi="Consolas" w:cs="Consolas"/>
      <w:sz w:val="20"/>
      <w:szCs w:val="20"/>
    </w:rPr>
  </w:style>
  <w:style w:type="character" w:styleId="HTML4">
    <w:name w:val="HTML Definition"/>
    <w:basedOn w:val="a3"/>
    <w:uiPriority w:val="98"/>
    <w:semiHidden/>
    <w:rsid w:val="00E21D54"/>
    <w:rPr>
      <w:i/>
      <w:iCs/>
    </w:rPr>
  </w:style>
  <w:style w:type="character" w:styleId="HTML5">
    <w:name w:val="HTML Keyboard"/>
    <w:basedOn w:val="a3"/>
    <w:uiPriority w:val="98"/>
    <w:semiHidden/>
    <w:rsid w:val="00E21D54"/>
    <w:rPr>
      <w:rFonts w:ascii="Consolas" w:hAnsi="Consolas" w:cs="Consolas"/>
      <w:sz w:val="20"/>
      <w:szCs w:val="20"/>
    </w:rPr>
  </w:style>
  <w:style w:type="paragraph" w:styleId="HTML6">
    <w:name w:val="HTML Preformatted"/>
    <w:basedOn w:val="a2"/>
    <w:link w:val="HTML7"/>
    <w:uiPriority w:val="98"/>
    <w:semiHidden/>
    <w:rsid w:val="00E21D54"/>
    <w:rPr>
      <w:rFonts w:ascii="Consolas" w:hAnsi="Consolas" w:cs="Consolas"/>
      <w:sz w:val="20"/>
      <w:szCs w:val="20"/>
    </w:rPr>
  </w:style>
  <w:style w:type="character" w:customStyle="1" w:styleId="HTML7">
    <w:name w:val="Стандартный HTML Знак"/>
    <w:basedOn w:val="a3"/>
    <w:link w:val="HTML6"/>
    <w:uiPriority w:val="98"/>
    <w:semiHidden/>
    <w:rsid w:val="00E21D54"/>
    <w:rPr>
      <w:rFonts w:ascii="Consolas" w:hAnsi="Consolas" w:cs="Consolas"/>
      <w:sz w:val="20"/>
      <w:szCs w:val="20"/>
      <w:lang w:val="en-GB"/>
    </w:rPr>
  </w:style>
  <w:style w:type="character" w:styleId="HTML8">
    <w:name w:val="HTML Sample"/>
    <w:basedOn w:val="a3"/>
    <w:uiPriority w:val="98"/>
    <w:semiHidden/>
    <w:rsid w:val="00E21D54"/>
    <w:rPr>
      <w:rFonts w:ascii="Consolas" w:hAnsi="Consolas" w:cs="Consolas"/>
      <w:sz w:val="24"/>
      <w:szCs w:val="24"/>
    </w:rPr>
  </w:style>
  <w:style w:type="character" w:styleId="HTML9">
    <w:name w:val="HTML Typewriter"/>
    <w:basedOn w:val="a3"/>
    <w:uiPriority w:val="98"/>
    <w:semiHidden/>
    <w:rsid w:val="00E21D54"/>
    <w:rPr>
      <w:rFonts w:ascii="Consolas" w:hAnsi="Consolas" w:cs="Consolas"/>
      <w:sz w:val="20"/>
      <w:szCs w:val="20"/>
    </w:rPr>
  </w:style>
  <w:style w:type="character" w:styleId="HTMLa">
    <w:name w:val="HTML Variable"/>
    <w:basedOn w:val="a3"/>
    <w:uiPriority w:val="98"/>
    <w:semiHidden/>
    <w:rsid w:val="00E21D54"/>
    <w:rPr>
      <w:i/>
      <w:iCs/>
    </w:rPr>
  </w:style>
  <w:style w:type="paragraph" w:styleId="12">
    <w:name w:val="index 1"/>
    <w:basedOn w:val="a2"/>
    <w:next w:val="a2"/>
    <w:autoRedefine/>
    <w:uiPriority w:val="98"/>
    <w:semiHidden/>
    <w:rsid w:val="00E21D54"/>
    <w:pPr>
      <w:ind w:left="240" w:hanging="240"/>
    </w:pPr>
  </w:style>
  <w:style w:type="paragraph" w:styleId="2d">
    <w:name w:val="index 2"/>
    <w:basedOn w:val="a2"/>
    <w:next w:val="a2"/>
    <w:autoRedefine/>
    <w:uiPriority w:val="98"/>
    <w:semiHidden/>
    <w:rsid w:val="00E21D54"/>
    <w:pPr>
      <w:ind w:left="480" w:hanging="240"/>
    </w:pPr>
  </w:style>
  <w:style w:type="paragraph" w:styleId="38">
    <w:name w:val="index 3"/>
    <w:basedOn w:val="a2"/>
    <w:next w:val="a2"/>
    <w:autoRedefine/>
    <w:uiPriority w:val="98"/>
    <w:semiHidden/>
    <w:rsid w:val="00E21D54"/>
    <w:pPr>
      <w:ind w:left="720" w:hanging="240"/>
    </w:pPr>
  </w:style>
  <w:style w:type="paragraph" w:styleId="44">
    <w:name w:val="index 4"/>
    <w:basedOn w:val="a2"/>
    <w:next w:val="a2"/>
    <w:autoRedefine/>
    <w:uiPriority w:val="98"/>
    <w:semiHidden/>
    <w:rsid w:val="00E21D54"/>
    <w:pPr>
      <w:ind w:left="960" w:hanging="240"/>
    </w:pPr>
  </w:style>
  <w:style w:type="paragraph" w:styleId="54">
    <w:name w:val="index 5"/>
    <w:basedOn w:val="a2"/>
    <w:next w:val="a2"/>
    <w:autoRedefine/>
    <w:uiPriority w:val="98"/>
    <w:semiHidden/>
    <w:rsid w:val="00E21D54"/>
    <w:pPr>
      <w:ind w:left="1200" w:hanging="240"/>
    </w:pPr>
  </w:style>
  <w:style w:type="paragraph" w:styleId="61">
    <w:name w:val="index 6"/>
    <w:basedOn w:val="a2"/>
    <w:next w:val="a2"/>
    <w:autoRedefine/>
    <w:uiPriority w:val="98"/>
    <w:semiHidden/>
    <w:rsid w:val="00E21D54"/>
    <w:pPr>
      <w:ind w:left="1440" w:hanging="240"/>
    </w:pPr>
  </w:style>
  <w:style w:type="paragraph" w:styleId="71">
    <w:name w:val="index 7"/>
    <w:basedOn w:val="a2"/>
    <w:next w:val="a2"/>
    <w:autoRedefine/>
    <w:uiPriority w:val="98"/>
    <w:semiHidden/>
    <w:rsid w:val="00E21D54"/>
    <w:pPr>
      <w:ind w:left="1680" w:hanging="240"/>
    </w:pPr>
  </w:style>
  <w:style w:type="paragraph" w:styleId="81">
    <w:name w:val="index 8"/>
    <w:basedOn w:val="a2"/>
    <w:next w:val="a2"/>
    <w:autoRedefine/>
    <w:uiPriority w:val="98"/>
    <w:semiHidden/>
    <w:rsid w:val="00E21D54"/>
    <w:pPr>
      <w:ind w:left="1920" w:hanging="240"/>
    </w:pPr>
  </w:style>
  <w:style w:type="paragraph" w:styleId="91">
    <w:name w:val="index 9"/>
    <w:basedOn w:val="a2"/>
    <w:next w:val="a2"/>
    <w:autoRedefine/>
    <w:uiPriority w:val="98"/>
    <w:semiHidden/>
    <w:rsid w:val="00E21D54"/>
    <w:pPr>
      <w:ind w:left="2160" w:hanging="240"/>
    </w:pPr>
  </w:style>
  <w:style w:type="paragraph" w:styleId="affff3">
    <w:name w:val="index heading"/>
    <w:basedOn w:val="a2"/>
    <w:next w:val="12"/>
    <w:uiPriority w:val="98"/>
    <w:semiHidden/>
    <w:rsid w:val="00E21D54"/>
    <w:rPr>
      <w:rFonts w:asciiTheme="majorHAnsi" w:eastAsiaTheme="majorEastAsia" w:hAnsiTheme="majorHAnsi" w:cstheme="majorBidi"/>
      <w:b/>
      <w:bCs/>
    </w:rPr>
  </w:style>
  <w:style w:type="table" w:styleId="affff4">
    <w:name w:val="Light Grid"/>
    <w:basedOn w:val="a4"/>
    <w:uiPriority w:val="62"/>
    <w:semiHidden/>
    <w:rsid w:val="00E21D5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rsid w:val="00E21D5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62"/>
    <w:semiHidden/>
    <w:rsid w:val="00E21D5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62"/>
    <w:semiHidden/>
    <w:rsid w:val="00E21D5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62"/>
    <w:semiHidden/>
    <w:rsid w:val="00E21D5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62"/>
    <w:semiHidden/>
    <w:rsid w:val="00E21D5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rsid w:val="00E21D5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61"/>
    <w:semiHidden/>
    <w:rsid w:val="00E21D5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rsid w:val="00E21D5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61"/>
    <w:semiHidden/>
    <w:rsid w:val="00E21D5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61"/>
    <w:semiHidden/>
    <w:rsid w:val="00E21D5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61"/>
    <w:semiHidden/>
    <w:rsid w:val="00E21D5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61"/>
    <w:semiHidden/>
    <w:rsid w:val="00E21D5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rsid w:val="00E21D5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60"/>
    <w:semiHidden/>
    <w:rsid w:val="00E21D54"/>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rsid w:val="00E21D54"/>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60"/>
    <w:semiHidden/>
    <w:rsid w:val="00E21D54"/>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60"/>
    <w:semiHidden/>
    <w:rsid w:val="00E21D54"/>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60"/>
    <w:semiHidden/>
    <w:rsid w:val="00E21D54"/>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60"/>
    <w:semiHidden/>
    <w:rsid w:val="00E21D54"/>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rsid w:val="00E21D54"/>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8"/>
    <w:semiHidden/>
    <w:rsid w:val="00E21D54"/>
  </w:style>
  <w:style w:type="paragraph" w:styleId="affff8">
    <w:name w:val="List"/>
    <w:basedOn w:val="a2"/>
    <w:uiPriority w:val="98"/>
    <w:semiHidden/>
    <w:rsid w:val="00E21D54"/>
    <w:pPr>
      <w:ind w:left="283" w:hanging="283"/>
      <w:contextualSpacing/>
    </w:pPr>
  </w:style>
  <w:style w:type="paragraph" w:styleId="2e">
    <w:name w:val="List 2"/>
    <w:basedOn w:val="a2"/>
    <w:uiPriority w:val="98"/>
    <w:semiHidden/>
    <w:rsid w:val="00E21D54"/>
    <w:pPr>
      <w:ind w:left="566" w:hanging="283"/>
      <w:contextualSpacing/>
    </w:pPr>
  </w:style>
  <w:style w:type="paragraph" w:styleId="39">
    <w:name w:val="List 3"/>
    <w:basedOn w:val="a2"/>
    <w:uiPriority w:val="98"/>
    <w:semiHidden/>
    <w:rsid w:val="00E21D54"/>
    <w:pPr>
      <w:ind w:left="849" w:hanging="283"/>
      <w:contextualSpacing/>
    </w:pPr>
  </w:style>
  <w:style w:type="paragraph" w:styleId="45">
    <w:name w:val="List 4"/>
    <w:basedOn w:val="a2"/>
    <w:uiPriority w:val="98"/>
    <w:semiHidden/>
    <w:rsid w:val="00E21D54"/>
    <w:pPr>
      <w:ind w:left="1132" w:hanging="283"/>
      <w:contextualSpacing/>
    </w:pPr>
  </w:style>
  <w:style w:type="paragraph" w:styleId="55">
    <w:name w:val="List 5"/>
    <w:basedOn w:val="a2"/>
    <w:uiPriority w:val="98"/>
    <w:semiHidden/>
    <w:rsid w:val="00E21D54"/>
    <w:pPr>
      <w:ind w:left="1415" w:hanging="283"/>
      <w:contextualSpacing/>
    </w:pPr>
  </w:style>
  <w:style w:type="paragraph" w:styleId="20">
    <w:name w:val="List Bullet 2"/>
    <w:basedOn w:val="a2"/>
    <w:uiPriority w:val="98"/>
    <w:semiHidden/>
    <w:rsid w:val="00E21D54"/>
    <w:pPr>
      <w:numPr>
        <w:numId w:val="12"/>
      </w:numPr>
      <w:contextualSpacing/>
    </w:pPr>
  </w:style>
  <w:style w:type="paragraph" w:styleId="40">
    <w:name w:val="List Bullet 4"/>
    <w:basedOn w:val="a2"/>
    <w:uiPriority w:val="98"/>
    <w:semiHidden/>
    <w:rsid w:val="00E21D54"/>
    <w:pPr>
      <w:numPr>
        <w:numId w:val="14"/>
      </w:numPr>
      <w:contextualSpacing/>
    </w:pPr>
  </w:style>
  <w:style w:type="paragraph" w:styleId="50">
    <w:name w:val="List Bullet 5"/>
    <w:basedOn w:val="a2"/>
    <w:uiPriority w:val="98"/>
    <w:semiHidden/>
    <w:rsid w:val="00E21D54"/>
    <w:pPr>
      <w:numPr>
        <w:numId w:val="15"/>
      </w:numPr>
      <w:contextualSpacing/>
    </w:pPr>
  </w:style>
  <w:style w:type="paragraph" w:styleId="affff9">
    <w:name w:val="List Continue"/>
    <w:basedOn w:val="a2"/>
    <w:uiPriority w:val="98"/>
    <w:semiHidden/>
    <w:rsid w:val="00E21D54"/>
    <w:pPr>
      <w:spacing w:after="120"/>
      <w:ind w:left="283"/>
      <w:contextualSpacing/>
    </w:pPr>
  </w:style>
  <w:style w:type="paragraph" w:styleId="2f">
    <w:name w:val="List Continue 2"/>
    <w:basedOn w:val="a2"/>
    <w:uiPriority w:val="98"/>
    <w:semiHidden/>
    <w:rsid w:val="00E21D54"/>
    <w:pPr>
      <w:spacing w:after="120"/>
      <w:ind w:left="566"/>
      <w:contextualSpacing/>
    </w:pPr>
  </w:style>
  <w:style w:type="paragraph" w:styleId="3a">
    <w:name w:val="List Continue 3"/>
    <w:basedOn w:val="a2"/>
    <w:uiPriority w:val="98"/>
    <w:semiHidden/>
    <w:rsid w:val="00E21D54"/>
    <w:pPr>
      <w:spacing w:after="120"/>
      <w:ind w:left="849"/>
      <w:contextualSpacing/>
    </w:pPr>
  </w:style>
  <w:style w:type="paragraph" w:styleId="46">
    <w:name w:val="List Continue 4"/>
    <w:basedOn w:val="a2"/>
    <w:uiPriority w:val="98"/>
    <w:semiHidden/>
    <w:rsid w:val="00E21D54"/>
    <w:pPr>
      <w:spacing w:after="120"/>
      <w:ind w:left="1132"/>
      <w:contextualSpacing/>
    </w:pPr>
  </w:style>
  <w:style w:type="paragraph" w:styleId="56">
    <w:name w:val="List Continue 5"/>
    <w:basedOn w:val="a2"/>
    <w:uiPriority w:val="98"/>
    <w:semiHidden/>
    <w:rsid w:val="00E21D54"/>
    <w:pPr>
      <w:spacing w:after="120"/>
      <w:ind w:left="1415"/>
      <w:contextualSpacing/>
    </w:pPr>
  </w:style>
  <w:style w:type="paragraph" w:styleId="a">
    <w:name w:val="List Number"/>
    <w:basedOn w:val="a2"/>
    <w:uiPriority w:val="98"/>
    <w:semiHidden/>
    <w:rsid w:val="00E21D54"/>
    <w:pPr>
      <w:numPr>
        <w:numId w:val="16"/>
      </w:numPr>
      <w:contextualSpacing/>
    </w:pPr>
  </w:style>
  <w:style w:type="paragraph" w:styleId="2">
    <w:name w:val="List Number 2"/>
    <w:basedOn w:val="a2"/>
    <w:uiPriority w:val="98"/>
    <w:semiHidden/>
    <w:rsid w:val="00E21D54"/>
    <w:pPr>
      <w:numPr>
        <w:numId w:val="17"/>
      </w:numPr>
      <w:contextualSpacing/>
    </w:pPr>
  </w:style>
  <w:style w:type="paragraph" w:styleId="3">
    <w:name w:val="List Number 3"/>
    <w:basedOn w:val="a2"/>
    <w:uiPriority w:val="98"/>
    <w:semiHidden/>
    <w:rsid w:val="00E21D54"/>
    <w:pPr>
      <w:numPr>
        <w:numId w:val="18"/>
      </w:numPr>
      <w:contextualSpacing/>
    </w:pPr>
  </w:style>
  <w:style w:type="paragraph" w:styleId="4">
    <w:name w:val="List Number 4"/>
    <w:basedOn w:val="a2"/>
    <w:uiPriority w:val="98"/>
    <w:semiHidden/>
    <w:rsid w:val="00E21D54"/>
    <w:pPr>
      <w:numPr>
        <w:numId w:val="19"/>
      </w:numPr>
      <w:contextualSpacing/>
    </w:pPr>
  </w:style>
  <w:style w:type="paragraph" w:styleId="5">
    <w:name w:val="List Number 5"/>
    <w:basedOn w:val="a2"/>
    <w:uiPriority w:val="98"/>
    <w:semiHidden/>
    <w:rsid w:val="00E21D54"/>
    <w:pPr>
      <w:numPr>
        <w:numId w:val="20"/>
      </w:numPr>
      <w:contextualSpacing/>
    </w:pPr>
  </w:style>
  <w:style w:type="paragraph" w:styleId="affffa">
    <w:name w:val="macro"/>
    <w:link w:val="affffb"/>
    <w:uiPriority w:val="98"/>
    <w:semiHidden/>
    <w:rsid w:val="00E21D5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8"/>
    <w:semiHidden/>
    <w:rsid w:val="00E21D54"/>
    <w:rPr>
      <w:rFonts w:ascii="Consolas" w:eastAsiaTheme="minorEastAsia" w:hAnsi="Consolas" w:cs="Consolas"/>
      <w:sz w:val="20"/>
      <w:szCs w:val="20"/>
    </w:rPr>
  </w:style>
  <w:style w:type="table" w:styleId="13">
    <w:name w:val="Medium Grid 1"/>
    <w:basedOn w:val="a4"/>
    <w:uiPriority w:val="67"/>
    <w:semiHidden/>
    <w:rsid w:val="00E21D5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rsid w:val="00E21D5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67"/>
    <w:semiHidden/>
    <w:rsid w:val="00E21D5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67"/>
    <w:semiHidden/>
    <w:rsid w:val="00E21D5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67"/>
    <w:semiHidden/>
    <w:rsid w:val="00E21D5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67"/>
    <w:semiHidden/>
    <w:rsid w:val="00E21D5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67"/>
    <w:semiHidden/>
    <w:rsid w:val="00E21D5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68"/>
    <w:semiHidden/>
    <w:rsid w:val="00E21D5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68"/>
    <w:semiHidden/>
    <w:rsid w:val="00E21D5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68"/>
    <w:semiHidden/>
    <w:rsid w:val="00E21D5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68"/>
    <w:semiHidden/>
    <w:rsid w:val="00E21D5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68"/>
    <w:semiHidden/>
    <w:rsid w:val="00E21D5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68"/>
    <w:semiHidden/>
    <w:rsid w:val="00E21D5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68"/>
    <w:semiHidden/>
    <w:rsid w:val="00E21D5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69"/>
    <w:semiHidden/>
    <w:rsid w:val="00E21D5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69"/>
    <w:semiHidden/>
    <w:rsid w:val="00E21D5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69"/>
    <w:semiHidden/>
    <w:rsid w:val="00E21D5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69"/>
    <w:semiHidden/>
    <w:rsid w:val="00E21D5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69"/>
    <w:semiHidden/>
    <w:rsid w:val="00E21D5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69"/>
    <w:semiHidden/>
    <w:rsid w:val="00E21D5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69"/>
    <w:semiHidden/>
    <w:rsid w:val="00E21D5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65"/>
    <w:semiHidden/>
    <w:rsid w:val="00E21D54"/>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rsid w:val="00E21D54"/>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65"/>
    <w:semiHidden/>
    <w:rsid w:val="00E21D54"/>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65"/>
    <w:semiHidden/>
    <w:rsid w:val="00E21D54"/>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65"/>
    <w:semiHidden/>
    <w:rsid w:val="00E21D54"/>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65"/>
    <w:semiHidden/>
    <w:rsid w:val="00E21D54"/>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65"/>
    <w:semiHidden/>
    <w:rsid w:val="00E21D54"/>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66"/>
    <w:semiHidden/>
    <w:rsid w:val="00E21D5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66"/>
    <w:semiHidden/>
    <w:rsid w:val="00E21D5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66"/>
    <w:semiHidden/>
    <w:rsid w:val="00E21D5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66"/>
    <w:semiHidden/>
    <w:rsid w:val="00E21D5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66"/>
    <w:semiHidden/>
    <w:rsid w:val="00E21D5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66"/>
    <w:semiHidden/>
    <w:rsid w:val="00E21D5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66"/>
    <w:semiHidden/>
    <w:rsid w:val="00E21D5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63"/>
    <w:semiHidden/>
    <w:rsid w:val="00E21D5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rsid w:val="00E21D5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rsid w:val="00E21D5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rsid w:val="00E21D5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rsid w:val="00E21D5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rsid w:val="00E21D5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rsid w:val="00E21D5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64"/>
    <w:semiHidden/>
    <w:rsid w:val="00E21D5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rsid w:val="00E21D5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E21D5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rsid w:val="00E21D5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rsid w:val="00E21D5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rsid w:val="00E21D5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E21D5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8"/>
    <w:semiHidden/>
    <w:rsid w:val="00E21D5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d">
    <w:name w:val="Шапка Знак"/>
    <w:basedOn w:val="a3"/>
    <w:link w:val="affffc"/>
    <w:uiPriority w:val="98"/>
    <w:semiHidden/>
    <w:rsid w:val="00E21D54"/>
    <w:rPr>
      <w:rFonts w:asciiTheme="majorHAnsi" w:eastAsiaTheme="majorEastAsia" w:hAnsiTheme="majorHAnsi" w:cstheme="majorBidi"/>
      <w:sz w:val="24"/>
      <w:szCs w:val="24"/>
      <w:shd w:val="pct20" w:color="auto" w:fill="auto"/>
      <w:lang w:val="en-GB"/>
    </w:rPr>
  </w:style>
  <w:style w:type="paragraph" w:styleId="affffe">
    <w:name w:val="Normal (Web)"/>
    <w:basedOn w:val="a2"/>
    <w:uiPriority w:val="98"/>
    <w:semiHidden/>
    <w:rsid w:val="00E21D54"/>
    <w:rPr>
      <w:rFonts w:ascii="Times New Roman" w:hAnsi="Times New Roman" w:cs="Times New Roman"/>
    </w:rPr>
  </w:style>
  <w:style w:type="paragraph" w:styleId="afffff">
    <w:name w:val="Normal Indent"/>
    <w:basedOn w:val="a2"/>
    <w:uiPriority w:val="98"/>
    <w:semiHidden/>
    <w:rsid w:val="00E21D54"/>
    <w:pPr>
      <w:ind w:left="720"/>
    </w:pPr>
  </w:style>
  <w:style w:type="paragraph" w:styleId="afffff0">
    <w:name w:val="Note Heading"/>
    <w:basedOn w:val="a2"/>
    <w:next w:val="a2"/>
    <w:link w:val="afffff1"/>
    <w:uiPriority w:val="98"/>
    <w:semiHidden/>
    <w:rsid w:val="00E21D54"/>
  </w:style>
  <w:style w:type="character" w:customStyle="1" w:styleId="afffff1">
    <w:name w:val="Заголовок записки Знак"/>
    <w:basedOn w:val="a3"/>
    <w:link w:val="afffff0"/>
    <w:uiPriority w:val="98"/>
    <w:semiHidden/>
    <w:rsid w:val="00E21D54"/>
    <w:rPr>
      <w:sz w:val="24"/>
      <w:szCs w:val="24"/>
      <w:lang w:val="en-GB"/>
    </w:rPr>
  </w:style>
  <w:style w:type="character" w:styleId="afffff2">
    <w:name w:val="Placeholder Text"/>
    <w:basedOn w:val="a3"/>
    <w:uiPriority w:val="99"/>
    <w:rsid w:val="00E21D54"/>
    <w:rPr>
      <w:color w:val="auto"/>
      <w:bdr w:val="none" w:sz="0" w:space="0" w:color="auto"/>
      <w:shd w:val="clear" w:color="auto" w:fill="DFDFDF" w:themeFill="background2" w:themeFillShade="E6"/>
    </w:rPr>
  </w:style>
  <w:style w:type="paragraph" w:styleId="afffff3">
    <w:name w:val="Plain Text"/>
    <w:basedOn w:val="a2"/>
    <w:link w:val="afffff4"/>
    <w:uiPriority w:val="98"/>
    <w:semiHidden/>
    <w:rsid w:val="00E21D54"/>
    <w:rPr>
      <w:rFonts w:ascii="Consolas" w:hAnsi="Consolas" w:cs="Consolas"/>
      <w:sz w:val="21"/>
      <w:szCs w:val="21"/>
    </w:rPr>
  </w:style>
  <w:style w:type="character" w:customStyle="1" w:styleId="afffff4">
    <w:name w:val="Текст Знак"/>
    <w:basedOn w:val="a3"/>
    <w:link w:val="afffff3"/>
    <w:uiPriority w:val="98"/>
    <w:semiHidden/>
    <w:rsid w:val="00E21D54"/>
    <w:rPr>
      <w:rFonts w:ascii="Consolas" w:hAnsi="Consolas" w:cs="Consolas"/>
      <w:sz w:val="21"/>
      <w:szCs w:val="21"/>
      <w:lang w:val="en-GB"/>
    </w:rPr>
  </w:style>
  <w:style w:type="paragraph" w:styleId="afffff5">
    <w:name w:val="Salutation"/>
    <w:basedOn w:val="a2"/>
    <w:next w:val="a2"/>
    <w:link w:val="afffff6"/>
    <w:uiPriority w:val="98"/>
    <w:semiHidden/>
    <w:rsid w:val="00E21D54"/>
  </w:style>
  <w:style w:type="character" w:customStyle="1" w:styleId="afffff6">
    <w:name w:val="Приветствие Знак"/>
    <w:basedOn w:val="a3"/>
    <w:link w:val="afffff5"/>
    <w:uiPriority w:val="98"/>
    <w:semiHidden/>
    <w:rsid w:val="00E21D54"/>
    <w:rPr>
      <w:sz w:val="24"/>
      <w:szCs w:val="24"/>
      <w:lang w:val="en-GB"/>
    </w:rPr>
  </w:style>
  <w:style w:type="paragraph" w:styleId="afffff7">
    <w:name w:val="Signature"/>
    <w:basedOn w:val="a2"/>
    <w:link w:val="afffff8"/>
    <w:uiPriority w:val="98"/>
    <w:semiHidden/>
    <w:rsid w:val="00E21D54"/>
    <w:pPr>
      <w:ind w:left="4252"/>
    </w:pPr>
  </w:style>
  <w:style w:type="character" w:customStyle="1" w:styleId="afffff8">
    <w:name w:val="Подпись Знак"/>
    <w:basedOn w:val="a3"/>
    <w:link w:val="afffff7"/>
    <w:uiPriority w:val="98"/>
    <w:semiHidden/>
    <w:rsid w:val="00E21D54"/>
    <w:rPr>
      <w:sz w:val="24"/>
      <w:szCs w:val="24"/>
      <w:lang w:val="en-GB"/>
    </w:rPr>
  </w:style>
  <w:style w:type="table" w:styleId="16">
    <w:name w:val="Table 3D effects 1"/>
    <w:basedOn w:val="a4"/>
    <w:uiPriority w:val="99"/>
    <w:semiHidden/>
    <w:unhideWhenUsed/>
    <w:rsid w:val="00E21D54"/>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E21D54"/>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E21D54"/>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E21D54"/>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E21D54"/>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E21D54"/>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E21D54"/>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E21D54"/>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E21D54"/>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E21D54"/>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E21D54"/>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E21D54"/>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E21D54"/>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E21D54"/>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E21D54"/>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E21D54"/>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E21D54"/>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E21D5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E21D54"/>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E21D54"/>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E21D54"/>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E21D5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E21D54"/>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E21D54"/>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E21D54"/>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E21D54"/>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E21D54"/>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E21D54"/>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E21D5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E21D5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E21D5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E21D54"/>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E21D5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8"/>
    <w:semiHidden/>
    <w:rsid w:val="00E21D54"/>
    <w:pPr>
      <w:ind w:left="240" w:hanging="240"/>
    </w:pPr>
  </w:style>
  <w:style w:type="paragraph" w:styleId="afffffc">
    <w:name w:val="table of figures"/>
    <w:basedOn w:val="a2"/>
    <w:next w:val="a2"/>
    <w:uiPriority w:val="98"/>
    <w:semiHidden/>
    <w:rsid w:val="00E21D54"/>
  </w:style>
  <w:style w:type="table" w:styleId="afffffd">
    <w:name w:val="Table Professional"/>
    <w:basedOn w:val="a4"/>
    <w:uiPriority w:val="99"/>
    <w:semiHidden/>
    <w:unhideWhenUsed/>
    <w:rsid w:val="00E21D5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E21D54"/>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E21D54"/>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E21D54"/>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E21D54"/>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E21D54"/>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E21D54"/>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unhideWhenUsed/>
    <w:rsid w:val="00E21D54"/>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E21D54"/>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E21D54"/>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8"/>
    <w:semiHidden/>
    <w:rsid w:val="00E21D54"/>
    <w:pPr>
      <w:tabs>
        <w:tab w:val="right" w:leader="dot" w:pos="7371"/>
      </w:tabs>
      <w:spacing w:after="60" w:line="240" w:lineRule="exact"/>
      <w:ind w:left="2041" w:right="567" w:hanging="340"/>
    </w:pPr>
    <w:rPr>
      <w:sz w:val="20"/>
    </w:rPr>
  </w:style>
  <w:style w:type="paragraph" w:styleId="73">
    <w:name w:val="toc 7"/>
    <w:basedOn w:val="a2"/>
    <w:next w:val="a2"/>
    <w:autoRedefine/>
    <w:uiPriority w:val="98"/>
    <w:semiHidden/>
    <w:rsid w:val="00E21D54"/>
    <w:pPr>
      <w:tabs>
        <w:tab w:val="right" w:leader="dot" w:pos="7371"/>
      </w:tabs>
      <w:spacing w:after="60" w:line="240" w:lineRule="exact"/>
      <w:ind w:left="2381" w:right="567" w:hanging="340"/>
    </w:pPr>
    <w:rPr>
      <w:sz w:val="20"/>
    </w:rPr>
  </w:style>
  <w:style w:type="paragraph" w:styleId="83">
    <w:name w:val="toc 8"/>
    <w:basedOn w:val="a2"/>
    <w:next w:val="a2"/>
    <w:autoRedefine/>
    <w:uiPriority w:val="98"/>
    <w:semiHidden/>
    <w:rsid w:val="00E21D54"/>
    <w:pPr>
      <w:spacing w:after="100"/>
      <w:ind w:left="1680"/>
    </w:pPr>
  </w:style>
  <w:style w:type="paragraph" w:styleId="92">
    <w:name w:val="toc 9"/>
    <w:basedOn w:val="a2"/>
    <w:next w:val="a2"/>
    <w:autoRedefine/>
    <w:uiPriority w:val="98"/>
    <w:semiHidden/>
    <w:rsid w:val="00E21D54"/>
    <w:pPr>
      <w:spacing w:after="100"/>
      <w:ind w:left="1920"/>
    </w:pPr>
  </w:style>
  <w:style w:type="paragraph" w:customStyle="1" w:styleId="ECHRFooter">
    <w:name w:val="ECHR_Footer"/>
    <w:aliases w:val="Footer_ECHR"/>
    <w:basedOn w:val="af"/>
    <w:uiPriority w:val="57"/>
    <w:semiHidden/>
    <w:rsid w:val="0064393B"/>
    <w:rPr>
      <w:sz w:val="8"/>
    </w:rPr>
  </w:style>
  <w:style w:type="paragraph" w:customStyle="1" w:styleId="ECHRFooterLine">
    <w:name w:val="ECHR_Footer_Line"/>
    <w:aliases w:val="_Footer_Line"/>
    <w:basedOn w:val="a2"/>
    <w:next w:val="a2"/>
    <w:uiPriority w:val="30"/>
    <w:semiHidden/>
    <w:rsid w:val="00E21D54"/>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E21D54"/>
    <w:pPr>
      <w:keepNext/>
      <w:keepLines/>
      <w:spacing w:after="280"/>
      <w:ind w:firstLine="0"/>
      <w:jc w:val="center"/>
    </w:pPr>
    <w:rPr>
      <w:rFonts w:asciiTheme="majorHAnsi" w:hAnsiTheme="majorHAnsi"/>
    </w:rPr>
  </w:style>
  <w:style w:type="paragraph" w:customStyle="1" w:styleId="JuTitle">
    <w:name w:val="Ju_Title"/>
    <w:aliases w:val="_Title_2"/>
    <w:basedOn w:val="a2"/>
    <w:next w:val="JuPara"/>
    <w:uiPriority w:val="38"/>
    <w:qFormat/>
    <w:rsid w:val="00E21D54"/>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E21D54"/>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E21D54"/>
    <w:pPr>
      <w:numPr>
        <w:numId w:val="7"/>
      </w:numPr>
      <w:spacing w:before="60" w:after="60"/>
    </w:pPr>
  </w:style>
  <w:style w:type="paragraph" w:customStyle="1" w:styleId="ECHRBullet2">
    <w:name w:val="ECHR_Bullet_2"/>
    <w:aliases w:val="_Bul_2"/>
    <w:basedOn w:val="ECHRBullet1"/>
    <w:uiPriority w:val="23"/>
    <w:semiHidden/>
    <w:rsid w:val="00E21D54"/>
    <w:pPr>
      <w:numPr>
        <w:ilvl w:val="1"/>
      </w:numPr>
    </w:pPr>
  </w:style>
  <w:style w:type="paragraph" w:customStyle="1" w:styleId="ECHRBullet3">
    <w:name w:val="ECHR_Bullet_3"/>
    <w:aliases w:val="_Bul_3"/>
    <w:basedOn w:val="ECHRBullet2"/>
    <w:uiPriority w:val="23"/>
    <w:semiHidden/>
    <w:rsid w:val="00E21D54"/>
    <w:pPr>
      <w:numPr>
        <w:ilvl w:val="2"/>
      </w:numPr>
    </w:pPr>
  </w:style>
  <w:style w:type="paragraph" w:customStyle="1" w:styleId="ECHRBullet4">
    <w:name w:val="ECHR_Bullet_4"/>
    <w:aliases w:val="_Bul_4"/>
    <w:basedOn w:val="ECHRBullet3"/>
    <w:uiPriority w:val="23"/>
    <w:semiHidden/>
    <w:rsid w:val="00E21D54"/>
    <w:pPr>
      <w:numPr>
        <w:ilvl w:val="3"/>
      </w:numPr>
    </w:pPr>
  </w:style>
  <w:style w:type="paragraph" w:customStyle="1" w:styleId="ECHRConfidential">
    <w:name w:val="ECHR_Confidential"/>
    <w:aliases w:val="_Confidential"/>
    <w:basedOn w:val="a2"/>
    <w:next w:val="a2"/>
    <w:uiPriority w:val="42"/>
    <w:semiHidden/>
    <w:qFormat/>
    <w:rsid w:val="00E21D54"/>
    <w:pPr>
      <w:jc w:val="right"/>
    </w:pPr>
    <w:rPr>
      <w:color w:val="C00000"/>
      <w:sz w:val="20"/>
    </w:rPr>
  </w:style>
  <w:style w:type="paragraph" w:customStyle="1" w:styleId="ECHRDecisionBody">
    <w:name w:val="ECHR_Decision_Body"/>
    <w:aliases w:val="_Decision_Body"/>
    <w:basedOn w:val="NormalJustified"/>
    <w:uiPriority w:val="54"/>
    <w:semiHidden/>
    <w:rsid w:val="00E21D54"/>
    <w:pPr>
      <w:tabs>
        <w:tab w:val="left" w:pos="567"/>
        <w:tab w:val="left" w:pos="1134"/>
      </w:tabs>
      <w:spacing w:line="240" w:lineRule="exact"/>
      <w:jc w:val="left"/>
    </w:pPr>
  </w:style>
  <w:style w:type="paragraph" w:customStyle="1" w:styleId="ECHRDivisionName">
    <w:name w:val="ECHR_DivisionName"/>
    <w:aliases w:val="_Div_Name"/>
    <w:basedOn w:val="a2"/>
    <w:link w:val="ECHRDivisionNameChar"/>
    <w:uiPriority w:val="41"/>
    <w:semiHidden/>
    <w:qFormat/>
    <w:rsid w:val="00E21D54"/>
    <w:pPr>
      <w:contextualSpacing/>
      <w:jc w:val="center"/>
    </w:pPr>
    <w:rPr>
      <w:rFonts w:ascii="Arial" w:hAnsi="Arial"/>
      <w:i/>
      <w:color w:val="002856"/>
      <w:sz w:val="32"/>
    </w:rPr>
  </w:style>
  <w:style w:type="character" w:customStyle="1" w:styleId="ECHRDivisionNameChar">
    <w:name w:val="ECHR_DivisionName Char"/>
    <w:aliases w:val="_Div_Name Char"/>
    <w:basedOn w:val="a3"/>
    <w:link w:val="ECHRDivisionName"/>
    <w:uiPriority w:val="41"/>
    <w:semiHidden/>
    <w:rsid w:val="00E21D54"/>
    <w:rPr>
      <w:rFonts w:ascii="Arial" w:hAnsi="Arial"/>
      <w:i/>
      <w:color w:val="002856"/>
      <w:sz w:val="32"/>
      <w:szCs w:val="24"/>
      <w:lang w:val="en-GB"/>
    </w:rPr>
  </w:style>
  <w:style w:type="paragraph" w:customStyle="1" w:styleId="ECHRFooterLineLandscape">
    <w:name w:val="ECHR_Footer_Line_Landscape"/>
    <w:aliases w:val="_Footer_Line_Landscape"/>
    <w:basedOn w:val="a2"/>
    <w:uiPriority w:val="30"/>
    <w:semiHidden/>
    <w:rsid w:val="00E21D54"/>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a2"/>
    <w:uiPriority w:val="44"/>
    <w:semiHidden/>
    <w:qFormat/>
    <w:rsid w:val="00E21D54"/>
    <w:pPr>
      <w:jc w:val="right"/>
    </w:pPr>
    <w:rPr>
      <w:sz w:val="20"/>
    </w:rPr>
  </w:style>
  <w:style w:type="paragraph" w:customStyle="1" w:styleId="ECHRHeaderRefIt">
    <w:name w:val="ECHR_Header_Ref_It"/>
    <w:aliases w:val="_Ref_Ital"/>
    <w:basedOn w:val="a2"/>
    <w:next w:val="ECHRHeaderDate"/>
    <w:uiPriority w:val="43"/>
    <w:qFormat/>
    <w:rsid w:val="00E21D54"/>
    <w:pPr>
      <w:jc w:val="right"/>
    </w:pPr>
    <w:rPr>
      <w:i/>
      <w:sz w:val="20"/>
    </w:rPr>
  </w:style>
  <w:style w:type="paragraph" w:customStyle="1" w:styleId="ECHRHeading9">
    <w:name w:val="ECHR_Heading_9"/>
    <w:aliases w:val="_Head_9"/>
    <w:basedOn w:val="9"/>
    <w:uiPriority w:val="17"/>
    <w:semiHidden/>
    <w:rsid w:val="00E21D54"/>
    <w:pPr>
      <w:keepNext/>
      <w:keepLines/>
      <w:numPr>
        <w:ilvl w:val="8"/>
        <w:numId w:val="9"/>
      </w:numPr>
      <w:tabs>
        <w:tab w:val="num" w:pos="360"/>
      </w:tabs>
      <w:spacing w:before="100" w:beforeAutospacing="1"/>
      <w:ind w:left="0" w:firstLine="0"/>
      <w:contextualSpacing/>
      <w:jc w:val="both"/>
    </w:pPr>
    <w:rPr>
      <w:i w:val="0"/>
      <w:sz w:val="18"/>
    </w:rPr>
  </w:style>
  <w:style w:type="paragraph" w:customStyle="1" w:styleId="ECHRLine">
    <w:name w:val="ECHR_Line"/>
    <w:aliases w:val="_Line"/>
    <w:basedOn w:val="NormalJustified"/>
    <w:next w:val="a2"/>
    <w:uiPriority w:val="46"/>
    <w:semiHidden/>
    <w:rsid w:val="00E21D54"/>
    <w:pPr>
      <w:pBdr>
        <w:bottom w:val="single" w:sz="12" w:space="1" w:color="949494" w:themeColor="text2" w:themeShade="BF"/>
      </w:pBdr>
      <w:spacing w:after="120"/>
    </w:pPr>
    <w:rPr>
      <w:sz w:val="12"/>
    </w:rPr>
  </w:style>
  <w:style w:type="paragraph" w:customStyle="1" w:styleId="ECHRNumberedList1">
    <w:name w:val="ECHR_Numbered_List_1"/>
    <w:aliases w:val="_Num_1"/>
    <w:basedOn w:val="a2"/>
    <w:uiPriority w:val="23"/>
    <w:semiHidden/>
    <w:qFormat/>
    <w:rsid w:val="00E21D54"/>
    <w:pPr>
      <w:numPr>
        <w:numId w:val="8"/>
      </w:numPr>
      <w:spacing w:before="60" w:after="60"/>
    </w:pPr>
  </w:style>
  <w:style w:type="paragraph" w:customStyle="1" w:styleId="ECHRNumberedList2">
    <w:name w:val="ECHR_Numbered_List_2"/>
    <w:aliases w:val="_Num_2"/>
    <w:basedOn w:val="ECHRNumberedList1"/>
    <w:uiPriority w:val="23"/>
    <w:semiHidden/>
    <w:rsid w:val="00E21D54"/>
    <w:pPr>
      <w:numPr>
        <w:ilvl w:val="1"/>
      </w:numPr>
    </w:pPr>
  </w:style>
  <w:style w:type="paragraph" w:customStyle="1" w:styleId="ECHRNumberedList3">
    <w:name w:val="ECHR_Numbered_List_3"/>
    <w:aliases w:val="_Num_3"/>
    <w:basedOn w:val="ECHRNumberedList2"/>
    <w:uiPriority w:val="23"/>
    <w:semiHidden/>
    <w:rsid w:val="00E21D54"/>
    <w:pPr>
      <w:numPr>
        <w:ilvl w:val="2"/>
      </w:numPr>
    </w:pPr>
  </w:style>
  <w:style w:type="paragraph" w:customStyle="1" w:styleId="ECHRParaHanging">
    <w:name w:val="ECHR_Para_Hanging"/>
    <w:aliases w:val="_Hanging"/>
    <w:basedOn w:val="a2"/>
    <w:uiPriority w:val="8"/>
    <w:semiHidden/>
    <w:qFormat/>
    <w:rsid w:val="00E21D54"/>
    <w:pPr>
      <w:ind w:left="567" w:hanging="567"/>
      <w:jc w:val="both"/>
    </w:pPr>
  </w:style>
  <w:style w:type="paragraph" w:customStyle="1" w:styleId="ECHRParaIndent">
    <w:name w:val="ECHR_Para_Indent"/>
    <w:aliases w:val="_Indent"/>
    <w:basedOn w:val="a2"/>
    <w:uiPriority w:val="7"/>
    <w:semiHidden/>
    <w:qFormat/>
    <w:rsid w:val="00E21D54"/>
    <w:pPr>
      <w:spacing w:before="120" w:after="120"/>
      <w:ind w:left="284"/>
      <w:jc w:val="both"/>
    </w:pPr>
  </w:style>
  <w:style w:type="character" w:customStyle="1" w:styleId="ECHRRed">
    <w:name w:val="ECHR_Red"/>
    <w:aliases w:val="_Red"/>
    <w:basedOn w:val="a3"/>
    <w:uiPriority w:val="15"/>
    <w:semiHidden/>
    <w:qFormat/>
    <w:rsid w:val="00E21D54"/>
    <w:rPr>
      <w:color w:val="C00000" w:themeColor="accent2"/>
    </w:rPr>
  </w:style>
  <w:style w:type="paragraph" w:customStyle="1" w:styleId="DecList">
    <w:name w:val="Dec_List"/>
    <w:aliases w:val="_List"/>
    <w:basedOn w:val="JuList"/>
    <w:uiPriority w:val="22"/>
    <w:rsid w:val="00E21D54"/>
    <w:pPr>
      <w:numPr>
        <w:numId w:val="0"/>
      </w:numPr>
      <w:ind w:left="284"/>
    </w:pPr>
  </w:style>
  <w:style w:type="table" w:customStyle="1" w:styleId="ECHRTable2">
    <w:name w:val="ECHR_Table_2"/>
    <w:basedOn w:val="a4"/>
    <w:uiPriority w:val="99"/>
    <w:rsid w:val="00E21D54"/>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a4"/>
    <w:uiPriority w:val="99"/>
    <w:rsid w:val="00E21D5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a2"/>
    <w:next w:val="a2"/>
    <w:uiPriority w:val="28"/>
    <w:semiHidden/>
    <w:qFormat/>
    <w:rsid w:val="00E21D54"/>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a2"/>
    <w:next w:val="a2"/>
    <w:uiPriority w:val="28"/>
    <w:semiHidden/>
    <w:qFormat/>
    <w:rsid w:val="00E21D54"/>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a2"/>
    <w:next w:val="a2"/>
    <w:uiPriority w:val="28"/>
    <w:semiHidden/>
    <w:qFormat/>
    <w:rsid w:val="00E21D54"/>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a2"/>
    <w:next w:val="a2"/>
    <w:uiPriority w:val="26"/>
    <w:semiHidden/>
    <w:qFormat/>
    <w:rsid w:val="00E21D54"/>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a2"/>
    <w:next w:val="a2"/>
    <w:uiPriority w:val="26"/>
    <w:semiHidden/>
    <w:qFormat/>
    <w:rsid w:val="00E21D54"/>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a2"/>
    <w:next w:val="a2"/>
    <w:uiPriority w:val="26"/>
    <w:semiHidden/>
    <w:qFormat/>
    <w:rsid w:val="00E21D54"/>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a2"/>
    <w:uiPriority w:val="25"/>
    <w:semiHidden/>
    <w:qFormat/>
    <w:rsid w:val="00E21D54"/>
    <w:pPr>
      <w:outlineLvl w:val="0"/>
    </w:pPr>
  </w:style>
  <w:style w:type="paragraph" w:customStyle="1" w:styleId="ECHRTitleTOC1">
    <w:name w:val="ECHR_Title_TOC_1"/>
    <w:aliases w:val="_Title_L_TOC"/>
    <w:basedOn w:val="ECHRTitle1"/>
    <w:next w:val="a2"/>
    <w:uiPriority w:val="27"/>
    <w:semiHidden/>
    <w:qFormat/>
    <w:rsid w:val="00E21D54"/>
    <w:pPr>
      <w:outlineLvl w:val="0"/>
    </w:pPr>
  </w:style>
  <w:style w:type="paragraph" w:customStyle="1" w:styleId="ECHRPlaceholder">
    <w:name w:val="ECHR_Placeholder"/>
    <w:aliases w:val="_Placeholder"/>
    <w:basedOn w:val="JuSigned"/>
    <w:uiPriority w:val="31"/>
    <w:rsid w:val="00E21D54"/>
    <w:rPr>
      <w:color w:val="FFFFFF"/>
    </w:rPr>
  </w:style>
  <w:style w:type="paragraph" w:customStyle="1" w:styleId="ECHRSpacer">
    <w:name w:val="ECHR_Spacer"/>
    <w:aliases w:val="_Spacer"/>
    <w:basedOn w:val="a2"/>
    <w:uiPriority w:val="45"/>
    <w:semiHidden/>
    <w:rsid w:val="00E21D54"/>
    <w:rPr>
      <w:sz w:val="4"/>
    </w:rPr>
  </w:style>
  <w:style w:type="table" w:customStyle="1" w:styleId="ECHRTableGrey">
    <w:name w:val="ECHR_Table_Grey"/>
    <w:basedOn w:val="a4"/>
    <w:uiPriority w:val="99"/>
    <w:rsid w:val="00E21D54"/>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1924F4"/>
    <w:rPr>
      <w:sz w:val="24"/>
      <w:szCs w:val="24"/>
      <w:lang w:val="en-GB"/>
    </w:rPr>
  </w:style>
  <w:style w:type="table" w:styleId="-18">
    <w:name w:val="Grid Table 1 Light"/>
    <w:basedOn w:val="a4"/>
    <w:uiPriority w:val="46"/>
    <w:rsid w:val="001924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1924F4"/>
    <w:rPr>
      <w:smallCaps/>
    </w:rPr>
  </w:style>
  <w:style w:type="paragraph" w:customStyle="1" w:styleId="JuList4">
    <w:name w:val="Ju_List_4"/>
    <w:aliases w:val="N_Bul_4"/>
    <w:basedOn w:val="JuListi"/>
    <w:uiPriority w:val="19"/>
    <w:rsid w:val="001924F4"/>
    <w:pPr>
      <w:numPr>
        <w:ilvl w:val="0"/>
        <w:numId w:val="0"/>
      </w:numPr>
      <w:tabs>
        <w:tab w:val="num" w:pos="1701"/>
      </w:tabs>
      <w:spacing w:before="60" w:after="60" w:line="240" w:lineRule="exact"/>
      <w:ind w:left="1703" w:hanging="284"/>
      <w:contextualSpacing/>
    </w:pPr>
    <w:rPr>
      <w:sz w:val="22"/>
      <w:lang w:val="fr-FR" w:eastAsia="fr-FR"/>
    </w:rPr>
  </w:style>
  <w:style w:type="table" w:styleId="-110">
    <w:name w:val="Grid Table 1 Light Accent 1"/>
    <w:basedOn w:val="a4"/>
    <w:uiPriority w:val="46"/>
    <w:rsid w:val="001924F4"/>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924F4"/>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924F4"/>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924F4"/>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924F4"/>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924F4"/>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28">
    <w:name w:val="Grid Table 2"/>
    <w:basedOn w:val="a4"/>
    <w:uiPriority w:val="47"/>
    <w:rsid w:val="001924F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924F4"/>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220">
    <w:name w:val="Grid Table 2 Accent 2"/>
    <w:basedOn w:val="a4"/>
    <w:uiPriority w:val="47"/>
    <w:rsid w:val="001924F4"/>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230">
    <w:name w:val="Grid Table 2 Accent 3"/>
    <w:basedOn w:val="a4"/>
    <w:uiPriority w:val="47"/>
    <w:rsid w:val="001924F4"/>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240">
    <w:name w:val="Grid Table 2 Accent 4"/>
    <w:basedOn w:val="a4"/>
    <w:uiPriority w:val="47"/>
    <w:rsid w:val="001924F4"/>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250">
    <w:name w:val="Grid Table 2 Accent 5"/>
    <w:basedOn w:val="a4"/>
    <w:uiPriority w:val="47"/>
    <w:rsid w:val="001924F4"/>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260">
    <w:name w:val="Grid Table 2 Accent 6"/>
    <w:basedOn w:val="a4"/>
    <w:uiPriority w:val="47"/>
    <w:rsid w:val="001924F4"/>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38">
    <w:name w:val="Grid Table 3"/>
    <w:basedOn w:val="a4"/>
    <w:uiPriority w:val="48"/>
    <w:rsid w:val="001924F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924F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320">
    <w:name w:val="Grid Table 3 Accent 2"/>
    <w:basedOn w:val="a4"/>
    <w:uiPriority w:val="48"/>
    <w:rsid w:val="001924F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330">
    <w:name w:val="Grid Table 3 Accent 3"/>
    <w:basedOn w:val="a4"/>
    <w:uiPriority w:val="48"/>
    <w:rsid w:val="001924F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340">
    <w:name w:val="Grid Table 3 Accent 4"/>
    <w:basedOn w:val="a4"/>
    <w:uiPriority w:val="48"/>
    <w:rsid w:val="001924F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350">
    <w:name w:val="Grid Table 3 Accent 5"/>
    <w:basedOn w:val="a4"/>
    <w:uiPriority w:val="48"/>
    <w:rsid w:val="001924F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360">
    <w:name w:val="Grid Table 3 Accent 6"/>
    <w:basedOn w:val="a4"/>
    <w:uiPriority w:val="48"/>
    <w:rsid w:val="001924F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47">
    <w:name w:val="Grid Table 4"/>
    <w:basedOn w:val="a4"/>
    <w:uiPriority w:val="49"/>
    <w:rsid w:val="001924F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924F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420">
    <w:name w:val="Grid Table 4 Accent 2"/>
    <w:basedOn w:val="a4"/>
    <w:uiPriority w:val="49"/>
    <w:rsid w:val="001924F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430">
    <w:name w:val="Grid Table 4 Accent 3"/>
    <w:basedOn w:val="a4"/>
    <w:uiPriority w:val="49"/>
    <w:rsid w:val="001924F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440">
    <w:name w:val="Grid Table 4 Accent 4"/>
    <w:basedOn w:val="a4"/>
    <w:uiPriority w:val="49"/>
    <w:rsid w:val="001924F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450">
    <w:name w:val="Grid Table 4 Accent 5"/>
    <w:basedOn w:val="a4"/>
    <w:uiPriority w:val="49"/>
    <w:rsid w:val="001924F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460">
    <w:name w:val="Grid Table 4 Accent 6"/>
    <w:basedOn w:val="a4"/>
    <w:uiPriority w:val="49"/>
    <w:rsid w:val="001924F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57">
    <w:name w:val="Grid Table 5 Dark"/>
    <w:basedOn w:val="a4"/>
    <w:uiPriority w:val="50"/>
    <w:rsid w:val="001924F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924F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520">
    <w:name w:val="Grid Table 5 Dark Accent 2"/>
    <w:basedOn w:val="a4"/>
    <w:uiPriority w:val="50"/>
    <w:rsid w:val="001924F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530">
    <w:name w:val="Grid Table 5 Dark Accent 3"/>
    <w:basedOn w:val="a4"/>
    <w:uiPriority w:val="50"/>
    <w:rsid w:val="001924F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540">
    <w:name w:val="Grid Table 5 Dark Accent 4"/>
    <w:basedOn w:val="a4"/>
    <w:uiPriority w:val="50"/>
    <w:rsid w:val="001924F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550">
    <w:name w:val="Grid Table 5 Dark Accent 5"/>
    <w:basedOn w:val="a4"/>
    <w:uiPriority w:val="50"/>
    <w:rsid w:val="001924F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560">
    <w:name w:val="Grid Table 5 Dark Accent 6"/>
    <w:basedOn w:val="a4"/>
    <w:uiPriority w:val="50"/>
    <w:rsid w:val="001924F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67">
    <w:name w:val="Grid Table 6 Colorful"/>
    <w:basedOn w:val="a4"/>
    <w:uiPriority w:val="51"/>
    <w:rsid w:val="001924F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924F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620">
    <w:name w:val="Grid Table 6 Colorful Accent 2"/>
    <w:basedOn w:val="a4"/>
    <w:uiPriority w:val="51"/>
    <w:rsid w:val="001924F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630">
    <w:name w:val="Grid Table 6 Colorful Accent 3"/>
    <w:basedOn w:val="a4"/>
    <w:uiPriority w:val="51"/>
    <w:rsid w:val="001924F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640">
    <w:name w:val="Grid Table 6 Colorful Accent 4"/>
    <w:basedOn w:val="a4"/>
    <w:uiPriority w:val="51"/>
    <w:rsid w:val="001924F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650">
    <w:name w:val="Grid Table 6 Colorful Accent 5"/>
    <w:basedOn w:val="a4"/>
    <w:uiPriority w:val="51"/>
    <w:rsid w:val="001924F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60">
    <w:name w:val="Grid Table 6 Colorful Accent 6"/>
    <w:basedOn w:val="a4"/>
    <w:uiPriority w:val="51"/>
    <w:rsid w:val="001924F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70">
    <w:name w:val="Grid Table 7 Colorful"/>
    <w:basedOn w:val="a4"/>
    <w:uiPriority w:val="52"/>
    <w:rsid w:val="001924F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1924F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72">
    <w:name w:val="Grid Table 7 Colorful Accent 2"/>
    <w:basedOn w:val="a4"/>
    <w:uiPriority w:val="52"/>
    <w:rsid w:val="001924F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73">
    <w:name w:val="Grid Table 7 Colorful Accent 3"/>
    <w:basedOn w:val="a4"/>
    <w:uiPriority w:val="52"/>
    <w:rsid w:val="001924F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74">
    <w:name w:val="Grid Table 7 Colorful Accent 4"/>
    <w:basedOn w:val="a4"/>
    <w:uiPriority w:val="52"/>
    <w:rsid w:val="001924F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75">
    <w:name w:val="Grid Table 7 Colorful Accent 5"/>
    <w:basedOn w:val="a4"/>
    <w:uiPriority w:val="52"/>
    <w:rsid w:val="001924F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76">
    <w:name w:val="Grid Table 7 Colorful Accent 6"/>
    <w:basedOn w:val="a4"/>
    <w:uiPriority w:val="52"/>
    <w:rsid w:val="001924F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1d">
    <w:name w:val="Хэштег1"/>
    <w:basedOn w:val="a3"/>
    <w:uiPriority w:val="99"/>
    <w:semiHidden/>
    <w:unhideWhenUsed/>
    <w:rsid w:val="001924F4"/>
    <w:rPr>
      <w:color w:val="2B579A"/>
      <w:shd w:val="clear" w:color="auto" w:fill="E1DFDD"/>
    </w:rPr>
  </w:style>
  <w:style w:type="table" w:styleId="-19">
    <w:name w:val="List Table 1 Light"/>
    <w:basedOn w:val="a4"/>
    <w:uiPriority w:val="46"/>
    <w:rsid w:val="001924F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1">
    <w:name w:val="List Table 1 Light Accent 1"/>
    <w:basedOn w:val="a4"/>
    <w:uiPriority w:val="46"/>
    <w:rsid w:val="001924F4"/>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121">
    <w:name w:val="List Table 1 Light Accent 2"/>
    <w:basedOn w:val="a4"/>
    <w:uiPriority w:val="46"/>
    <w:rsid w:val="001924F4"/>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131">
    <w:name w:val="List Table 1 Light Accent 3"/>
    <w:basedOn w:val="a4"/>
    <w:uiPriority w:val="46"/>
    <w:rsid w:val="001924F4"/>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141">
    <w:name w:val="List Table 1 Light Accent 4"/>
    <w:basedOn w:val="a4"/>
    <w:uiPriority w:val="46"/>
    <w:rsid w:val="001924F4"/>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151">
    <w:name w:val="List Table 1 Light Accent 5"/>
    <w:basedOn w:val="a4"/>
    <w:uiPriority w:val="46"/>
    <w:rsid w:val="001924F4"/>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161">
    <w:name w:val="List Table 1 Light Accent 6"/>
    <w:basedOn w:val="a4"/>
    <w:uiPriority w:val="46"/>
    <w:rsid w:val="001924F4"/>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29">
    <w:name w:val="List Table 2"/>
    <w:basedOn w:val="a4"/>
    <w:uiPriority w:val="47"/>
    <w:rsid w:val="001924F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1">
    <w:name w:val="List Table 2 Accent 1"/>
    <w:basedOn w:val="a4"/>
    <w:uiPriority w:val="47"/>
    <w:rsid w:val="001924F4"/>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221">
    <w:name w:val="List Table 2 Accent 2"/>
    <w:basedOn w:val="a4"/>
    <w:uiPriority w:val="47"/>
    <w:rsid w:val="001924F4"/>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231">
    <w:name w:val="List Table 2 Accent 3"/>
    <w:basedOn w:val="a4"/>
    <w:uiPriority w:val="47"/>
    <w:rsid w:val="001924F4"/>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241">
    <w:name w:val="List Table 2 Accent 4"/>
    <w:basedOn w:val="a4"/>
    <w:uiPriority w:val="47"/>
    <w:rsid w:val="001924F4"/>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251">
    <w:name w:val="List Table 2 Accent 5"/>
    <w:basedOn w:val="a4"/>
    <w:uiPriority w:val="47"/>
    <w:rsid w:val="001924F4"/>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261">
    <w:name w:val="List Table 2 Accent 6"/>
    <w:basedOn w:val="a4"/>
    <w:uiPriority w:val="47"/>
    <w:rsid w:val="001924F4"/>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39">
    <w:name w:val="List Table 3"/>
    <w:basedOn w:val="a4"/>
    <w:uiPriority w:val="48"/>
    <w:rsid w:val="001924F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1">
    <w:name w:val="List Table 3 Accent 1"/>
    <w:basedOn w:val="a4"/>
    <w:uiPriority w:val="48"/>
    <w:rsid w:val="001924F4"/>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321">
    <w:name w:val="List Table 3 Accent 2"/>
    <w:basedOn w:val="a4"/>
    <w:uiPriority w:val="48"/>
    <w:rsid w:val="001924F4"/>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331">
    <w:name w:val="List Table 3 Accent 3"/>
    <w:basedOn w:val="a4"/>
    <w:uiPriority w:val="48"/>
    <w:rsid w:val="001924F4"/>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341">
    <w:name w:val="List Table 3 Accent 4"/>
    <w:basedOn w:val="a4"/>
    <w:uiPriority w:val="48"/>
    <w:rsid w:val="001924F4"/>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351">
    <w:name w:val="List Table 3 Accent 5"/>
    <w:basedOn w:val="a4"/>
    <w:uiPriority w:val="48"/>
    <w:rsid w:val="001924F4"/>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361">
    <w:name w:val="List Table 3 Accent 6"/>
    <w:basedOn w:val="a4"/>
    <w:uiPriority w:val="48"/>
    <w:rsid w:val="001924F4"/>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48">
    <w:name w:val="List Table 4"/>
    <w:basedOn w:val="a4"/>
    <w:uiPriority w:val="49"/>
    <w:rsid w:val="001924F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1">
    <w:name w:val="List Table 4 Accent 1"/>
    <w:basedOn w:val="a4"/>
    <w:uiPriority w:val="49"/>
    <w:rsid w:val="001924F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421">
    <w:name w:val="List Table 4 Accent 2"/>
    <w:basedOn w:val="a4"/>
    <w:uiPriority w:val="49"/>
    <w:rsid w:val="001924F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431">
    <w:name w:val="List Table 4 Accent 3"/>
    <w:basedOn w:val="a4"/>
    <w:uiPriority w:val="49"/>
    <w:rsid w:val="001924F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441">
    <w:name w:val="List Table 4 Accent 4"/>
    <w:basedOn w:val="a4"/>
    <w:uiPriority w:val="49"/>
    <w:rsid w:val="001924F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451">
    <w:name w:val="List Table 4 Accent 5"/>
    <w:basedOn w:val="a4"/>
    <w:uiPriority w:val="49"/>
    <w:rsid w:val="001924F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461">
    <w:name w:val="List Table 4 Accent 6"/>
    <w:basedOn w:val="a4"/>
    <w:uiPriority w:val="49"/>
    <w:rsid w:val="001924F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58">
    <w:name w:val="List Table 5 Dark"/>
    <w:basedOn w:val="a4"/>
    <w:uiPriority w:val="50"/>
    <w:rsid w:val="001924F4"/>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1">
    <w:name w:val="List Table 5 Dark Accent 1"/>
    <w:basedOn w:val="a4"/>
    <w:uiPriority w:val="50"/>
    <w:rsid w:val="001924F4"/>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1">
    <w:name w:val="List Table 5 Dark Accent 2"/>
    <w:basedOn w:val="a4"/>
    <w:uiPriority w:val="50"/>
    <w:rsid w:val="001924F4"/>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1">
    <w:name w:val="List Table 5 Dark Accent 3"/>
    <w:basedOn w:val="a4"/>
    <w:uiPriority w:val="50"/>
    <w:rsid w:val="001924F4"/>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1">
    <w:name w:val="List Table 5 Dark Accent 4"/>
    <w:basedOn w:val="a4"/>
    <w:uiPriority w:val="50"/>
    <w:rsid w:val="001924F4"/>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1">
    <w:name w:val="List Table 5 Dark Accent 5"/>
    <w:basedOn w:val="a4"/>
    <w:uiPriority w:val="50"/>
    <w:rsid w:val="001924F4"/>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1">
    <w:name w:val="List Table 5 Dark Accent 6"/>
    <w:basedOn w:val="a4"/>
    <w:uiPriority w:val="50"/>
    <w:rsid w:val="001924F4"/>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8">
    <w:name w:val="List Table 6 Colorful"/>
    <w:basedOn w:val="a4"/>
    <w:uiPriority w:val="51"/>
    <w:rsid w:val="001924F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1">
    <w:name w:val="List Table 6 Colorful Accent 1"/>
    <w:basedOn w:val="a4"/>
    <w:uiPriority w:val="51"/>
    <w:rsid w:val="001924F4"/>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621">
    <w:name w:val="List Table 6 Colorful Accent 2"/>
    <w:basedOn w:val="a4"/>
    <w:uiPriority w:val="51"/>
    <w:rsid w:val="001924F4"/>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631">
    <w:name w:val="List Table 6 Colorful Accent 3"/>
    <w:basedOn w:val="a4"/>
    <w:uiPriority w:val="51"/>
    <w:rsid w:val="001924F4"/>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641">
    <w:name w:val="List Table 6 Colorful Accent 4"/>
    <w:basedOn w:val="a4"/>
    <w:uiPriority w:val="51"/>
    <w:rsid w:val="001924F4"/>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651">
    <w:name w:val="List Table 6 Colorful Accent 5"/>
    <w:basedOn w:val="a4"/>
    <w:uiPriority w:val="51"/>
    <w:rsid w:val="001924F4"/>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61">
    <w:name w:val="List Table 6 Colorful Accent 6"/>
    <w:basedOn w:val="a4"/>
    <w:uiPriority w:val="51"/>
    <w:rsid w:val="001924F4"/>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77">
    <w:name w:val="List Table 7 Colorful"/>
    <w:basedOn w:val="a4"/>
    <w:uiPriority w:val="52"/>
    <w:rsid w:val="001924F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1924F4"/>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1924F4"/>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1924F4"/>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1924F4"/>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1924F4"/>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1924F4"/>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e">
    <w:name w:val="Упомянуть1"/>
    <w:basedOn w:val="a3"/>
    <w:uiPriority w:val="99"/>
    <w:semiHidden/>
    <w:unhideWhenUsed/>
    <w:rsid w:val="001924F4"/>
    <w:rPr>
      <w:color w:val="2B579A"/>
      <w:shd w:val="clear" w:color="auto" w:fill="E1DFDD"/>
    </w:rPr>
  </w:style>
  <w:style w:type="table" w:styleId="1f">
    <w:name w:val="Plain Table 1"/>
    <w:basedOn w:val="a4"/>
    <w:uiPriority w:val="41"/>
    <w:rsid w:val="001924F4"/>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2fa">
    <w:name w:val="Plain Table 2"/>
    <w:basedOn w:val="a4"/>
    <w:uiPriority w:val="42"/>
    <w:rsid w:val="001924F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2">
    <w:name w:val="Plain Table 3"/>
    <w:basedOn w:val="a4"/>
    <w:uiPriority w:val="43"/>
    <w:rsid w:val="001924F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4a">
    <w:name w:val="Plain Table 4"/>
    <w:basedOn w:val="a4"/>
    <w:uiPriority w:val="44"/>
    <w:rsid w:val="001924F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59">
    <w:name w:val="Plain Table 5"/>
    <w:basedOn w:val="a4"/>
    <w:uiPriority w:val="45"/>
    <w:rsid w:val="001924F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a">
    <w:name w:val="Смарт-гиперссылка1"/>
    <w:basedOn w:val="a3"/>
    <w:uiPriority w:val="99"/>
    <w:semiHidden/>
    <w:unhideWhenUsed/>
    <w:rsid w:val="001924F4"/>
    <w:rPr>
      <w:u w:val="dotted"/>
    </w:rPr>
  </w:style>
  <w:style w:type="character" w:customStyle="1" w:styleId="-1b">
    <w:name w:val="Смарт-ссылка1"/>
    <w:basedOn w:val="a3"/>
    <w:uiPriority w:val="99"/>
    <w:semiHidden/>
    <w:unhideWhenUsed/>
    <w:rsid w:val="001924F4"/>
    <w:rPr>
      <w:color w:val="0000FF"/>
      <w:u w:val="single"/>
      <w:shd w:val="clear" w:color="auto" w:fill="F3F2F1"/>
    </w:rPr>
  </w:style>
  <w:style w:type="table" w:styleId="affffff">
    <w:name w:val="Grid Table Light"/>
    <w:basedOn w:val="a4"/>
    <w:uiPriority w:val="40"/>
    <w:rsid w:val="001924F4"/>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1f0">
    <w:name w:val="Неразрешенное упоминание1"/>
    <w:basedOn w:val="a3"/>
    <w:uiPriority w:val="99"/>
    <w:semiHidden/>
    <w:unhideWhenUsed/>
    <w:rsid w:val="001924F4"/>
    <w:rPr>
      <w:color w:val="605E5C"/>
      <w:shd w:val="clear" w:color="auto" w:fill="E1DFDD"/>
    </w:rPr>
  </w:style>
  <w:style w:type="character" w:customStyle="1" w:styleId="JuQuotChar">
    <w:name w:val="Ju_Quot Char"/>
    <w:basedOn w:val="a3"/>
    <w:link w:val="JuQuot"/>
    <w:uiPriority w:val="20"/>
    <w:rsid w:val="001924F4"/>
    <w:rPr>
      <w:sz w:val="20"/>
      <w:szCs w:val="24"/>
      <w:lang w:val="en-GB"/>
    </w:rPr>
  </w:style>
  <w:style w:type="paragraph" w:styleId="affffff0">
    <w:name w:val="Revision"/>
    <w:hidden/>
    <w:uiPriority w:val="99"/>
    <w:semiHidden/>
    <w:rsid w:val="001924F4"/>
    <w:rPr>
      <w:sz w:val="24"/>
      <w:szCs w:val="24"/>
      <w:lang w:val="en-GB"/>
    </w:rPr>
  </w:style>
  <w:style w:type="character" w:customStyle="1" w:styleId="sb8d990e2">
    <w:name w:val="sb8d990e2"/>
    <w:basedOn w:val="a3"/>
    <w:rsid w:val="001924F4"/>
  </w:style>
  <w:style w:type="paragraph" w:customStyle="1" w:styleId="opi">
    <w:name w:val="opi"/>
    <w:basedOn w:val="JuPara"/>
    <w:link w:val="opiChar"/>
    <w:qFormat/>
    <w:rsid w:val="005F0FD6"/>
  </w:style>
  <w:style w:type="character" w:customStyle="1" w:styleId="opiChar">
    <w:name w:val="opi Char"/>
    <w:basedOn w:val="JuParaChar"/>
    <w:link w:val="opi"/>
    <w:rsid w:val="005F0FD6"/>
    <w:rPr>
      <w:sz w:val="24"/>
      <w:szCs w:val="24"/>
      <w:lang w:val="en-GB"/>
    </w:rPr>
  </w:style>
  <w:style w:type="paragraph" w:customStyle="1" w:styleId="s30eec3f8">
    <w:name w:val="s30eec3f8"/>
    <w:basedOn w:val="a2"/>
    <w:rsid w:val="00987040"/>
    <w:pPr>
      <w:spacing w:before="100" w:beforeAutospacing="1" w:after="100" w:afterAutospacing="1"/>
    </w:pPr>
    <w:rPr>
      <w:rFonts w:ascii="Times New Roman" w:eastAsia="Times New Roman" w:hAnsi="Times New Roman" w:cs="Times New Roman"/>
      <w:lang w:val="ru-UA" w:eastAsia="ru-RU"/>
    </w:rPr>
  </w:style>
  <w:style w:type="character" w:customStyle="1" w:styleId="s6b621b36">
    <w:name w:val="s6b621b36"/>
    <w:basedOn w:val="a3"/>
    <w:rsid w:val="00987040"/>
  </w:style>
  <w:style w:type="character" w:customStyle="1" w:styleId="wordhighlighted">
    <w:name w:val="wordhighlighted"/>
    <w:basedOn w:val="a3"/>
    <w:rsid w:val="00987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8705">
      <w:bodyDiv w:val="1"/>
      <w:marLeft w:val="0"/>
      <w:marRight w:val="0"/>
      <w:marTop w:val="0"/>
      <w:marBottom w:val="0"/>
      <w:divBdr>
        <w:top w:val="none" w:sz="0" w:space="0" w:color="auto"/>
        <w:left w:val="none" w:sz="0" w:space="0" w:color="auto"/>
        <w:bottom w:val="none" w:sz="0" w:space="0" w:color="auto"/>
        <w:right w:val="none" w:sz="0" w:space="0" w:color="auto"/>
      </w:divBdr>
    </w:div>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679703904">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A7B0-7CFF-4B5D-BD72-BE049718147C}">
  <ds:schemaRefs>
    <ds:schemaRef ds:uri="http://schemas.microsoft.com/sharepoint/v3/contenttype/forms"/>
  </ds:schemaRefs>
</ds:datastoreItem>
</file>

<file path=customXml/itemProps2.xml><?xml version="1.0" encoding="utf-8"?>
<ds:datastoreItem xmlns:ds="http://schemas.openxmlformats.org/officeDocument/2006/customXml" ds:itemID="{583133F2-678D-40E2-B476-93601D072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D0104D8-F104-40B7-95E7-B53FED3D1F0C}">
  <ds:schemaRefs>
    <ds:schemaRef ds:uri="http://schemas.openxmlformats.org/officeDocument/2006/bibliography"/>
  </ds:schemaRefs>
</ds:datastoreItem>
</file>

<file path=customXml/itemProps4.xml><?xml version="1.0" encoding="utf-8"?>
<ds:datastoreItem xmlns:ds="http://schemas.openxmlformats.org/officeDocument/2006/customXml" ds:itemID="{B16D8FD2-14BE-47C5-B6C2-6D5DAACAEB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9048</Words>
  <Characters>51575</Characters>
  <Application>Microsoft Office Word</Application>
  <DocSecurity>0</DocSecurity>
  <Lines>429</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60502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2021-06-23T14:34:00Z</dcterms:created>
  <dcterms:modified xsi:type="dcterms:W3CDTF">2021-08-03T15:30:00Z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22597/16</vt:lpwstr>
  </property>
  <property fmtid="{D5CDD505-2E9C-101B-9397-08002B2CF9AE}" pid="4" name="CASEID">
    <vt:lpwstr>1196095</vt:lpwstr>
  </property>
  <property fmtid="{D5CDD505-2E9C-101B-9397-08002B2CF9AE}" pid="5" name="ContentTypeId">
    <vt:lpwstr>0x010100558EB02BDB9E204AB350EDD385B68E10</vt:lpwstr>
  </property>
</Properties>
</file>